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7"/>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4828"/>
        <w:gridCol w:w="743"/>
      </w:tblGrid>
      <w:tr w:rsidR="00021B73" w:rsidRPr="00021B73" w:rsidTr="001B1412">
        <w:trPr>
          <w:gridAfter w:val="1"/>
          <w:wAfter w:w="743" w:type="dxa"/>
          <w:jc w:val="center"/>
        </w:trPr>
        <w:tc>
          <w:tcPr>
            <w:tcW w:w="8077" w:type="dxa"/>
            <w:gridSpan w:val="2"/>
          </w:tcPr>
          <w:p w:rsidR="00021B73" w:rsidRPr="00021B73" w:rsidRDefault="00021B73" w:rsidP="001B1412">
            <w:pPr>
              <w:rPr>
                <w:rFonts w:ascii="Arial" w:hAnsi="Arial"/>
                <w:b/>
                <w:bCs/>
                <w:rtl/>
              </w:rPr>
            </w:pPr>
            <w:bookmarkStart w:id="0" w:name="_GoBack"/>
            <w:bookmarkEnd w:id="0"/>
            <w:r w:rsidRPr="00021B73">
              <w:rPr>
                <w:rFonts w:ascii="Arial" w:hAnsi="Arial" w:hint="cs"/>
                <w:b/>
                <w:bCs/>
                <w:rtl/>
              </w:rPr>
              <w:t>לפני כב' ה</w:t>
            </w:r>
            <w:sdt>
              <w:sdtPr>
                <w:rPr>
                  <w:rtl/>
                </w:rPr>
                <w:alias w:val="1574"/>
                <w:tag w:val="1574"/>
                <w:id w:val="490682261"/>
                <w:text w:multiLine="1"/>
              </w:sdtPr>
              <w:sdtEndPr/>
              <w:sdtContent>
                <w:r w:rsidRPr="00021B73">
                  <w:rPr>
                    <w:rFonts w:ascii="Arial" w:hAnsi="Arial"/>
                    <w:b/>
                    <w:bCs/>
                    <w:rtl/>
                  </w:rPr>
                  <w:t>שופטת</w:t>
                </w:r>
              </w:sdtContent>
            </w:sdt>
            <w:r w:rsidRPr="00021B73">
              <w:rPr>
                <w:rFonts w:ascii="Arial" w:hAnsi="Arial" w:hint="cs"/>
                <w:b/>
                <w:bCs/>
                <w:rtl/>
              </w:rPr>
              <w:t xml:space="preserve">  </w:t>
            </w:r>
            <w:sdt>
              <w:sdtPr>
                <w:rPr>
                  <w:rtl/>
                </w:rPr>
                <w:alias w:val="1573"/>
                <w:tag w:val="1573"/>
                <w:id w:val="-1842311034"/>
                <w:text w:multiLine="1"/>
              </w:sdtPr>
              <w:sdtEndPr/>
              <w:sdtContent>
                <w:r w:rsidRPr="00021B73">
                  <w:rPr>
                    <w:rFonts w:ascii="Arial" w:hAnsi="Arial"/>
                    <w:b/>
                    <w:bCs/>
                    <w:rtl/>
                  </w:rPr>
                  <w:t>איריס אילוטוביץ' סגל</w:t>
                </w:r>
              </w:sdtContent>
            </w:sdt>
          </w:p>
          <w:p w:rsidR="00021B73" w:rsidRPr="00021B73" w:rsidRDefault="00021B73" w:rsidP="001B1412">
            <w:pPr>
              <w:rPr>
                <w:rFonts w:ascii="Arial" w:hAnsi="Arial" w:cs="FrankRuehl"/>
                <w:sz w:val="28"/>
                <w:szCs w:val="28"/>
                <w:highlight w:val="yellow"/>
              </w:rPr>
            </w:pPr>
          </w:p>
        </w:tc>
      </w:tr>
      <w:tr w:rsidR="00021B73" w:rsidRPr="00021B73" w:rsidTr="001B1412">
        <w:trPr>
          <w:jc w:val="center"/>
        </w:trPr>
        <w:sdt>
          <w:sdtPr>
            <w:rPr>
              <w:rFonts w:ascii="Arial" w:hAnsi="Arial"/>
              <w:b/>
              <w:bCs/>
              <w:noProof w:val="0"/>
            </w:rPr>
            <w:alias w:val="1180"/>
            <w:tag w:val="1180"/>
            <w:id w:val="108787784"/>
            <w:placeholder>
              <w:docPart w:val="D9ED085AD60B47D6863FEB0EA57A6176"/>
            </w:placeholder>
            <w:text w:multiLine="1"/>
          </w:sdtPr>
          <w:sdtEndPr/>
          <w:sdtContent>
            <w:tc>
              <w:tcPr>
                <w:tcW w:w="3249" w:type="dxa"/>
              </w:tcPr>
              <w:p w:rsidR="00021B73" w:rsidRPr="00021B73" w:rsidRDefault="00021B73" w:rsidP="001B1412">
                <w:pPr>
                  <w:bidi w:val="0"/>
                  <w:jc w:val="right"/>
                  <w:rPr>
                    <w:rFonts w:ascii="Arial" w:hAnsi="Arial"/>
                    <w:b/>
                    <w:bCs/>
                    <w:noProof w:val="0"/>
                    <w:rtl/>
                  </w:rPr>
                </w:pPr>
                <w:r w:rsidRPr="00021B73">
                  <w:rPr>
                    <w:rFonts w:ascii="Arial" w:hAnsi="Arial" w:hint="cs"/>
                    <w:b/>
                    <w:bCs/>
                    <w:noProof w:val="0"/>
                    <w:rtl/>
                  </w:rPr>
                  <w:t>מבקשת</w:t>
                </w:r>
              </w:p>
            </w:tc>
          </w:sdtContent>
        </w:sdt>
        <w:tc>
          <w:tcPr>
            <w:tcW w:w="5571" w:type="dxa"/>
            <w:gridSpan w:val="2"/>
          </w:tcPr>
          <w:p w:rsidR="00021B73" w:rsidRPr="00021B73" w:rsidRDefault="00021B73" w:rsidP="001B1412">
            <w:pPr>
              <w:rPr>
                <w:b/>
                <w:bCs/>
                <w:noProof w:val="0"/>
              </w:rPr>
            </w:pPr>
            <w:r w:rsidRPr="00021B73">
              <w:rPr>
                <w:rStyle w:val="ad"/>
                <w:rFonts w:hint="cs"/>
                <w:b/>
                <w:bCs/>
                <w:color w:val="auto"/>
                <w:rtl/>
              </w:rPr>
              <w:t>ר'</w:t>
            </w:r>
            <w:sdt>
              <w:sdtPr>
                <w:rPr>
                  <w:b/>
                  <w:bCs/>
                  <w:noProof w:val="0"/>
                  <w:rtl/>
                </w:rPr>
                <w:alias w:val="2318"/>
                <w:tag w:val="2318"/>
                <w:id w:val="1275511924"/>
                <w:text w:multiLine="1"/>
              </w:sdtPr>
              <w:sdtEndPr/>
              <w:sdtContent>
                <w:r w:rsidRPr="00021B73">
                  <w:rPr>
                    <w:rStyle w:val="ad"/>
                    <w:b/>
                    <w:bCs/>
                    <w:color w:val="auto"/>
                    <w:rtl/>
                  </w:rPr>
                  <w:br/>
                </w:r>
                <w:r w:rsidRPr="00021B73">
                  <w:rPr>
                    <w:rFonts w:hint="cs"/>
                    <w:b/>
                    <w:bCs/>
                    <w:noProof w:val="0"/>
                    <w:rtl/>
                  </w:rPr>
                  <w:t>ע"י ב"כ עוה"ד רוית טוב-לי</w:t>
                </w:r>
              </w:sdtContent>
            </w:sdt>
          </w:p>
        </w:tc>
      </w:tr>
      <w:tr w:rsidR="00021B73" w:rsidRPr="00021B73" w:rsidTr="001B1412">
        <w:trPr>
          <w:jc w:val="center"/>
        </w:trPr>
        <w:tc>
          <w:tcPr>
            <w:tcW w:w="8820" w:type="dxa"/>
            <w:gridSpan w:val="3"/>
          </w:tcPr>
          <w:p w:rsidR="00021B73" w:rsidRPr="00021B73" w:rsidRDefault="00021B73" w:rsidP="001B1412">
            <w:pPr>
              <w:rPr>
                <w:rFonts w:ascii="Arial" w:hAnsi="Arial"/>
                <w:b/>
                <w:bCs/>
                <w:noProof w:val="0"/>
                <w:rtl/>
              </w:rPr>
            </w:pPr>
          </w:p>
          <w:p w:rsidR="00021B73" w:rsidRPr="00021B73" w:rsidRDefault="00021B73" w:rsidP="001B1412">
            <w:pPr>
              <w:jc w:val="center"/>
              <w:rPr>
                <w:rFonts w:ascii="Arial" w:hAnsi="Arial"/>
                <w:b/>
                <w:bCs/>
                <w:noProof w:val="0"/>
                <w:rtl/>
              </w:rPr>
            </w:pPr>
            <w:r w:rsidRPr="00021B73">
              <w:rPr>
                <w:rFonts w:ascii="Arial" w:hAnsi="Arial"/>
                <w:b/>
                <w:bCs/>
                <w:noProof w:val="0"/>
                <w:rtl/>
              </w:rPr>
              <w:t>נגד</w:t>
            </w:r>
          </w:p>
          <w:p w:rsidR="00021B73" w:rsidRPr="00021B73" w:rsidRDefault="00021B73" w:rsidP="001B1412">
            <w:pPr>
              <w:rPr>
                <w:rFonts w:ascii="Arial" w:hAnsi="Arial"/>
                <w:b/>
                <w:bCs/>
                <w:noProof w:val="0"/>
              </w:rPr>
            </w:pPr>
          </w:p>
        </w:tc>
      </w:tr>
      <w:tr w:rsidR="00021B73" w:rsidRPr="00021B73" w:rsidTr="001B1412">
        <w:trPr>
          <w:jc w:val="center"/>
        </w:trPr>
        <w:tc>
          <w:tcPr>
            <w:tcW w:w="3249" w:type="dxa"/>
          </w:tcPr>
          <w:p w:rsidR="00021B73" w:rsidRPr="00021B73" w:rsidRDefault="00EB1080" w:rsidP="001B1412">
            <w:pPr>
              <w:rPr>
                <w:rFonts w:ascii="Arial" w:hAnsi="Arial"/>
                <w:b/>
                <w:bCs/>
                <w:noProof w:val="0"/>
              </w:rPr>
            </w:pPr>
            <w:sdt>
              <w:sdtPr>
                <w:rPr>
                  <w:b/>
                  <w:bCs/>
                  <w:rtl/>
                </w:rPr>
                <w:alias w:val="1184"/>
                <w:tag w:val="1184"/>
                <w:id w:val="1218863978"/>
                <w:text w:multiLine="1"/>
              </w:sdtPr>
              <w:sdtEndPr/>
              <w:sdtContent>
                <w:r w:rsidR="00021B73" w:rsidRPr="00021B73">
                  <w:rPr>
                    <w:rFonts w:ascii="Arial" w:hAnsi="Arial" w:hint="cs"/>
                    <w:b/>
                    <w:bCs/>
                    <w:noProof w:val="0"/>
                    <w:rtl/>
                  </w:rPr>
                  <w:t>מתנגדת</w:t>
                </w:r>
              </w:sdtContent>
            </w:sdt>
          </w:p>
        </w:tc>
        <w:tc>
          <w:tcPr>
            <w:tcW w:w="5571" w:type="dxa"/>
            <w:gridSpan w:val="2"/>
          </w:tcPr>
          <w:p w:rsidR="00021B73" w:rsidRPr="00021B73" w:rsidRDefault="00021B73" w:rsidP="00021B73">
            <w:pPr>
              <w:rPr>
                <w:b/>
                <w:bCs/>
                <w:noProof w:val="0"/>
                <w:rtl/>
              </w:rPr>
            </w:pPr>
            <w:r w:rsidRPr="00021B73">
              <w:rPr>
                <w:rStyle w:val="ad"/>
                <w:rFonts w:hint="cs"/>
                <w:b/>
                <w:bCs/>
                <w:color w:val="auto"/>
                <w:rtl/>
              </w:rPr>
              <w:t>ז'</w:t>
            </w:r>
            <w:r w:rsidRPr="00021B73">
              <w:rPr>
                <w:rFonts w:hint="cs"/>
                <w:b/>
                <w:bCs/>
                <w:noProof w:val="0"/>
                <w:rtl/>
              </w:rPr>
              <w:t xml:space="preserve"> </w:t>
            </w:r>
            <w:sdt>
              <w:sdtPr>
                <w:rPr>
                  <w:rFonts w:hint="cs"/>
                  <w:b/>
                  <w:bCs/>
                  <w:noProof w:val="0"/>
                  <w:rtl/>
                </w:rPr>
                <w:alias w:val="2315"/>
                <w:tag w:val="2315"/>
                <w:id w:val="-1865047362"/>
                <w:showingPlcHdr/>
                <w:text w:multiLine="1"/>
              </w:sdtPr>
              <w:sdtEndPr/>
              <w:sdtContent>
                <w:r w:rsidRPr="00021B73">
                  <w:rPr>
                    <w:b/>
                    <w:bCs/>
                    <w:noProof w:val="0"/>
                    <w:rtl/>
                  </w:rPr>
                  <w:t xml:space="preserve">     </w:t>
                </w:r>
              </w:sdtContent>
            </w:sdt>
            <w:sdt>
              <w:sdtPr>
                <w:rPr>
                  <w:rFonts w:hint="cs"/>
                  <w:b/>
                  <w:bCs/>
                  <w:noProof w:val="0"/>
                  <w:rtl/>
                </w:rPr>
                <w:alias w:val="2316"/>
                <w:tag w:val="2316"/>
                <w:id w:val="-1297367856"/>
                <w:text w:multiLine="1"/>
              </w:sdtPr>
              <w:sdtEndPr/>
              <w:sdtContent>
                <w:r w:rsidRPr="00021B73">
                  <w:rPr>
                    <w:rStyle w:val="ad"/>
                    <w:b/>
                    <w:bCs/>
                    <w:color w:val="auto"/>
                    <w:rtl/>
                  </w:rPr>
                  <w:br/>
                </w:r>
                <w:r w:rsidRPr="00021B73">
                  <w:rPr>
                    <w:rFonts w:hint="cs"/>
                    <w:b/>
                    <w:bCs/>
                    <w:noProof w:val="0"/>
                    <w:rtl/>
                  </w:rPr>
                  <w:t>ע"י ב"כ עוה"ד ליהיא כהן-דמבינסקי</w:t>
                </w:r>
              </w:sdtContent>
            </w:sdt>
          </w:p>
          <w:p w:rsidR="00021B73" w:rsidRPr="00021B73" w:rsidRDefault="00021B73" w:rsidP="001B1412">
            <w:pPr>
              <w:rPr>
                <w:b/>
                <w:bCs/>
                <w:noProof w:val="0"/>
                <w:rtl/>
              </w:rPr>
            </w:pPr>
          </w:p>
        </w:tc>
      </w:tr>
    </w:tbl>
    <w:p w:rsidR="00021B73" w:rsidRPr="00021B73" w:rsidRDefault="00021B73" w:rsidP="00021B73"/>
    <w:p w:rsidR="00021B73" w:rsidRPr="00021B73" w:rsidRDefault="00021B73" w:rsidP="00021B73">
      <w:r w:rsidRPr="00021B73">
        <w:rPr>
          <w:rFonts w:hint="cs"/>
          <w:b/>
          <w:bCs/>
          <w:u w:val="single"/>
          <w:rtl/>
        </w:rPr>
        <w:t>בעניין עזבון המנוחה</w:t>
      </w:r>
      <w:r w:rsidRPr="00021B73">
        <w:rPr>
          <w:rFonts w:hint="cs"/>
          <w:rtl/>
        </w:rPr>
        <w:t xml:space="preserve">: </w:t>
      </w:r>
      <w:sdt>
        <w:sdtPr>
          <w:rPr>
            <w:rFonts w:hint="cs"/>
            <w:b/>
            <w:bCs/>
            <w:noProof w:val="0"/>
            <w:sz w:val="26"/>
            <w:szCs w:val="26"/>
            <w:rtl/>
          </w:rPr>
          <w:alias w:val="1486"/>
          <w:tag w:val="1486"/>
          <w:id w:val="1428309046"/>
          <w:text w:multiLine="1"/>
        </w:sdtPr>
        <w:sdtEndPr/>
        <w:sdtContent>
          <w:r>
            <w:rPr>
              <w:rStyle w:val="ad"/>
              <w:rFonts w:hint="cs"/>
              <w:b/>
              <w:bCs/>
              <w:color w:val="auto"/>
              <w:rtl/>
            </w:rPr>
            <w:t>פ'</w:t>
          </w:r>
          <w:r w:rsidRPr="00021B73">
            <w:rPr>
              <w:rStyle w:val="ad"/>
              <w:b/>
              <w:bCs/>
              <w:color w:val="auto"/>
              <w:rtl/>
            </w:rPr>
            <w:t xml:space="preserve"> </w:t>
          </w:r>
          <w:r w:rsidRPr="00021B73">
            <w:rPr>
              <w:rStyle w:val="ad"/>
              <w:rFonts w:hint="cs"/>
              <w:b/>
              <w:bCs/>
              <w:color w:val="auto"/>
              <w:rtl/>
            </w:rPr>
            <w:t>ז"ל</w:t>
          </w:r>
        </w:sdtContent>
      </w:sdt>
    </w:p>
    <w:tbl>
      <w:tblPr>
        <w:tblStyle w:val="a7"/>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021B73" w:rsidTr="001B1412">
        <w:trPr>
          <w:jc w:val="center"/>
        </w:trPr>
        <w:tc>
          <w:tcPr>
            <w:tcW w:w="8820" w:type="dxa"/>
          </w:tcPr>
          <w:p w:rsidR="00021B73" w:rsidRDefault="00021B73" w:rsidP="001B1412">
            <w:pPr>
              <w:bidi w:val="0"/>
              <w:jc w:val="center"/>
              <w:rPr>
                <w:rFonts w:ascii="Arial" w:hAnsi="Arial"/>
                <w:b/>
                <w:bCs/>
                <w:noProof w:val="0"/>
                <w:sz w:val="26"/>
                <w:szCs w:val="26"/>
              </w:rPr>
            </w:pPr>
          </w:p>
          <w:p w:rsidR="00021B73" w:rsidRDefault="00021B73" w:rsidP="001B1412">
            <w:pPr>
              <w:bidi w:val="0"/>
              <w:jc w:val="center"/>
              <w:rPr>
                <w:rFonts w:ascii="Arial" w:hAnsi="Arial"/>
                <w:b/>
                <w:bCs/>
                <w:noProof w:val="0"/>
                <w:sz w:val="26"/>
                <w:szCs w:val="26"/>
                <w:u w:val="single"/>
              </w:rPr>
            </w:pPr>
          </w:p>
          <w:p w:rsidR="00021B73" w:rsidRDefault="00021B73" w:rsidP="001B1412">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021B73" w:rsidRDefault="00021B73" w:rsidP="00021B73">
      <w:pPr>
        <w:spacing w:line="360" w:lineRule="auto"/>
        <w:jc w:val="both"/>
        <w:rPr>
          <w:rFonts w:ascii="Arial" w:hAnsi="Arial"/>
          <w:noProof w:val="0"/>
          <w:rtl/>
        </w:rPr>
      </w:pPr>
    </w:p>
    <w:p w:rsidR="00021B73" w:rsidRDefault="00021B73" w:rsidP="00021B73">
      <w:pPr>
        <w:spacing w:after="120" w:line="360" w:lineRule="auto"/>
        <w:ind w:firstLine="720"/>
        <w:jc w:val="both"/>
        <w:rPr>
          <w:rFonts w:ascii="David" w:eastAsia="Calibri" w:hAnsi="David"/>
          <w:b/>
          <w:bCs/>
          <w:noProof w:val="0"/>
        </w:rPr>
      </w:pPr>
      <w:r>
        <w:rPr>
          <w:rFonts w:ascii="David" w:eastAsia="Calibri" w:hAnsi="David"/>
          <w:b/>
          <w:bCs/>
          <w:noProof w:val="0"/>
          <w:rtl/>
        </w:rPr>
        <w:t xml:space="preserve">לפניי התנגדות למתן צו קיום צוואת המנוחה, </w:t>
      </w:r>
      <w:r>
        <w:rPr>
          <w:rFonts w:ascii="David" w:eastAsia="Calibri" w:hAnsi="David" w:hint="cs"/>
          <w:b/>
          <w:bCs/>
          <w:noProof w:val="0"/>
          <w:rtl/>
        </w:rPr>
        <w:t xml:space="preserve">שבה נושלה המתנגדת לחלוטין מירושת עזבון האם המנוחה. </w:t>
      </w:r>
    </w:p>
    <w:p w:rsidR="00021B73" w:rsidRDefault="00021B73" w:rsidP="00021B73">
      <w:pPr>
        <w:spacing w:after="120" w:line="360" w:lineRule="auto"/>
        <w:ind w:firstLine="720"/>
        <w:jc w:val="both"/>
        <w:rPr>
          <w:rFonts w:ascii="David" w:eastAsia="Calibri" w:hAnsi="David"/>
          <w:b/>
          <w:bCs/>
          <w:noProof w:val="0"/>
          <w:rtl/>
        </w:rPr>
      </w:pPr>
      <w:r>
        <w:rPr>
          <w:rFonts w:ascii="David" w:eastAsia="Calibri" w:hAnsi="David"/>
          <w:b/>
          <w:bCs/>
          <w:noProof w:val="0"/>
          <w:rtl/>
        </w:rPr>
        <w:t>האם הצוואה משקפת את רצונה החופשי של המנוחה? האם הייתה מעורבות של המבקש</w:t>
      </w:r>
      <w:r>
        <w:rPr>
          <w:rFonts w:ascii="David" w:eastAsia="Calibri" w:hAnsi="David" w:hint="cs"/>
          <w:b/>
          <w:bCs/>
          <w:noProof w:val="0"/>
          <w:rtl/>
        </w:rPr>
        <w:t>ת</w:t>
      </w:r>
      <w:r>
        <w:rPr>
          <w:rFonts w:ascii="David" w:eastAsia="Calibri" w:hAnsi="David"/>
          <w:b/>
          <w:bCs/>
          <w:noProof w:val="0"/>
          <w:rtl/>
        </w:rPr>
        <w:t xml:space="preserve"> בעריכת הצוואה? האם המבקש</w:t>
      </w:r>
      <w:r>
        <w:rPr>
          <w:rFonts w:ascii="David" w:eastAsia="Calibri" w:hAnsi="David" w:hint="cs"/>
          <w:b/>
          <w:bCs/>
          <w:noProof w:val="0"/>
          <w:rtl/>
        </w:rPr>
        <w:t>ת</w:t>
      </w:r>
      <w:r>
        <w:rPr>
          <w:rFonts w:ascii="David" w:eastAsia="Calibri" w:hAnsi="David"/>
          <w:b/>
          <w:bCs/>
          <w:noProof w:val="0"/>
          <w:rtl/>
        </w:rPr>
        <w:t xml:space="preserve"> השפיע</w:t>
      </w:r>
      <w:r>
        <w:rPr>
          <w:rFonts w:ascii="David" w:eastAsia="Calibri" w:hAnsi="David" w:hint="cs"/>
          <w:b/>
          <w:bCs/>
          <w:noProof w:val="0"/>
          <w:rtl/>
        </w:rPr>
        <w:t>ה</w:t>
      </w:r>
      <w:r>
        <w:rPr>
          <w:rFonts w:ascii="David" w:eastAsia="Calibri" w:hAnsi="David"/>
          <w:b/>
          <w:bCs/>
          <w:noProof w:val="0"/>
          <w:rtl/>
        </w:rPr>
        <w:t xml:space="preserve"> על המנוחה השפעה בלתי הוגנת על מנת שתערוך את הצוואה</w:t>
      </w:r>
      <w:r>
        <w:rPr>
          <w:rFonts w:ascii="David" w:eastAsia="Calibri" w:hAnsi="David" w:hint="cs"/>
          <w:b/>
          <w:bCs/>
          <w:noProof w:val="0"/>
          <w:rtl/>
        </w:rPr>
        <w:t xml:space="preserve"> לטובתה בלבד</w:t>
      </w:r>
      <w:r>
        <w:rPr>
          <w:rFonts w:ascii="David" w:eastAsia="Calibri" w:hAnsi="David"/>
          <w:b/>
          <w:bCs/>
          <w:noProof w:val="0"/>
          <w:rtl/>
        </w:rPr>
        <w:t>?</w:t>
      </w:r>
    </w:p>
    <w:p w:rsidR="00021B73" w:rsidRDefault="00021B73" w:rsidP="00021B73">
      <w:pPr>
        <w:spacing w:after="240" w:line="360" w:lineRule="auto"/>
        <w:jc w:val="both"/>
        <w:rPr>
          <w:rFonts w:ascii="David" w:eastAsia="Calibri" w:hAnsi="David"/>
          <w:b/>
          <w:bCs/>
          <w:noProof w:val="0"/>
          <w:rtl/>
        </w:rPr>
      </w:pPr>
      <w:r>
        <w:rPr>
          <w:rFonts w:ascii="David" w:eastAsia="Calibri" w:hAnsi="David"/>
          <w:b/>
          <w:bCs/>
          <w:noProof w:val="0"/>
          <w:rtl/>
        </w:rPr>
        <w:t>בשאלות אילו ועוד יש להכריע.</w:t>
      </w:r>
    </w:p>
    <w:p w:rsidR="00021B73" w:rsidRDefault="00021B73" w:rsidP="00021B73">
      <w:pPr>
        <w:spacing w:after="120" w:line="360" w:lineRule="auto"/>
        <w:jc w:val="both"/>
        <w:rPr>
          <w:rFonts w:ascii="Arial" w:hAnsi="Arial"/>
          <w:b/>
          <w:bCs/>
          <w:noProof w:val="0"/>
          <w:sz w:val="28"/>
          <w:szCs w:val="28"/>
          <w:u w:val="single"/>
          <w:rtl/>
        </w:rPr>
      </w:pPr>
      <w:r>
        <w:rPr>
          <w:rFonts w:ascii="Arial" w:hAnsi="Arial"/>
          <w:b/>
          <w:bCs/>
          <w:noProof w:val="0"/>
          <w:sz w:val="28"/>
          <w:szCs w:val="28"/>
          <w:u w:val="single"/>
          <w:rtl/>
        </w:rPr>
        <w:t>רקע עובדתי רלוונטי והשתלשלות ההליך</w:t>
      </w:r>
    </w:p>
    <w:p w:rsidR="00021B73" w:rsidRDefault="00021B73" w:rsidP="00021B73">
      <w:pPr>
        <w:pStyle w:val="a9"/>
        <w:numPr>
          <w:ilvl w:val="0"/>
          <w:numId w:val="7"/>
        </w:numPr>
        <w:spacing w:after="240" w:line="360" w:lineRule="auto"/>
        <w:ind w:left="0" w:firstLine="0"/>
        <w:jc w:val="both"/>
        <w:rPr>
          <w:rFonts w:ascii="Arial" w:eastAsia="Calibri" w:hAnsi="Arial"/>
          <w:noProof w:val="0"/>
          <w:rtl/>
        </w:rPr>
      </w:pPr>
      <w:r>
        <w:rPr>
          <w:rFonts w:ascii="Arial" w:eastAsia="Calibri" w:hAnsi="Arial"/>
          <w:b/>
          <w:bCs/>
          <w:noProof w:val="0"/>
          <w:rtl/>
        </w:rPr>
        <w:t xml:space="preserve">לפניי </w:t>
      </w:r>
      <w:r>
        <w:rPr>
          <w:rFonts w:ascii="Arial" w:eastAsia="Calibri" w:hAnsi="Arial" w:hint="cs"/>
          <w:b/>
          <w:bCs/>
          <w:noProof w:val="0"/>
          <w:rtl/>
        </w:rPr>
        <w:t>ארבע</w:t>
      </w:r>
      <w:r>
        <w:rPr>
          <w:rFonts w:ascii="Arial" w:eastAsia="Calibri" w:hAnsi="Arial"/>
          <w:b/>
          <w:bCs/>
          <w:noProof w:val="0"/>
          <w:rtl/>
        </w:rPr>
        <w:t xml:space="preserve"> תובענות</w:t>
      </w:r>
      <w:r>
        <w:rPr>
          <w:rFonts w:ascii="Arial" w:eastAsia="Calibri" w:hAnsi="Arial"/>
          <w:noProof w:val="0"/>
          <w:rtl/>
        </w:rPr>
        <w:t>:</w:t>
      </w:r>
    </w:p>
    <w:p w:rsidR="00021B73" w:rsidRDefault="00021B73" w:rsidP="00021B73">
      <w:pPr>
        <w:pStyle w:val="a9"/>
        <w:spacing w:after="240" w:line="360" w:lineRule="auto"/>
        <w:rPr>
          <w:rFonts w:ascii="Arial" w:eastAsia="Calibri" w:hAnsi="Arial"/>
          <w:b/>
          <w:bCs/>
          <w:noProof w:val="0"/>
        </w:rPr>
      </w:pPr>
      <w:r>
        <w:rPr>
          <w:rFonts w:ascii="Arial" w:eastAsia="Calibri" w:hAnsi="Arial"/>
          <w:b/>
          <w:bCs/>
          <w:noProof w:val="0"/>
          <w:rtl/>
        </w:rPr>
        <w:t>ת"ע</w:t>
      </w:r>
      <w:r>
        <w:rPr>
          <w:rFonts w:ascii="Arial" w:eastAsia="Calibri" w:hAnsi="Arial" w:hint="cs"/>
          <w:b/>
          <w:bCs/>
          <w:noProof w:val="0"/>
          <w:rtl/>
        </w:rPr>
        <w:t xml:space="preserve"> 26134-02-21 </w:t>
      </w:r>
      <w:r>
        <w:rPr>
          <w:rFonts w:ascii="Arial" w:eastAsia="Calibri" w:hAnsi="Arial"/>
          <w:b/>
          <w:bCs/>
          <w:noProof w:val="0"/>
          <w:rtl/>
        </w:rPr>
        <w:t>– בקשה ל</w:t>
      </w:r>
      <w:r>
        <w:rPr>
          <w:rFonts w:ascii="Arial" w:eastAsia="Calibri" w:hAnsi="Arial" w:hint="cs"/>
          <w:b/>
          <w:bCs/>
          <w:noProof w:val="0"/>
          <w:rtl/>
        </w:rPr>
        <w:t xml:space="preserve">צו </w:t>
      </w:r>
      <w:r>
        <w:rPr>
          <w:rFonts w:ascii="Arial" w:eastAsia="Calibri" w:hAnsi="Arial"/>
          <w:b/>
          <w:bCs/>
          <w:noProof w:val="0"/>
          <w:rtl/>
        </w:rPr>
        <w:t>קיום צווא</w:t>
      </w:r>
      <w:r>
        <w:rPr>
          <w:rFonts w:ascii="Arial" w:eastAsia="Calibri" w:hAnsi="Arial" w:hint="cs"/>
          <w:b/>
          <w:bCs/>
          <w:noProof w:val="0"/>
          <w:rtl/>
        </w:rPr>
        <w:t>ה מיום 22.10.2013</w:t>
      </w:r>
      <w:r>
        <w:rPr>
          <w:rFonts w:ascii="Arial" w:eastAsia="Calibri" w:hAnsi="Arial"/>
          <w:b/>
          <w:bCs/>
          <w:noProof w:val="0"/>
          <w:rtl/>
        </w:rPr>
        <w:t xml:space="preserve"> שהגיש</w:t>
      </w:r>
      <w:r>
        <w:rPr>
          <w:rFonts w:ascii="Arial" w:eastAsia="Calibri" w:hAnsi="Arial" w:hint="cs"/>
          <w:b/>
          <w:bCs/>
          <w:noProof w:val="0"/>
          <w:rtl/>
        </w:rPr>
        <w:t>ה</w:t>
      </w:r>
      <w:r>
        <w:rPr>
          <w:rFonts w:ascii="Arial" w:eastAsia="Calibri" w:hAnsi="Arial"/>
          <w:b/>
          <w:bCs/>
          <w:noProof w:val="0"/>
          <w:rtl/>
        </w:rPr>
        <w:t xml:space="preserve"> המבקש</w:t>
      </w:r>
      <w:r>
        <w:rPr>
          <w:rFonts w:ascii="Arial" w:eastAsia="Calibri" w:hAnsi="Arial" w:hint="cs"/>
          <w:b/>
          <w:bCs/>
          <w:noProof w:val="0"/>
          <w:rtl/>
        </w:rPr>
        <w:t>ת</w:t>
      </w:r>
      <w:r>
        <w:rPr>
          <w:rFonts w:ascii="Arial" w:eastAsia="Calibri" w:hAnsi="Arial"/>
          <w:b/>
          <w:bCs/>
          <w:noProof w:val="0"/>
          <w:rtl/>
        </w:rPr>
        <w:t>;</w:t>
      </w:r>
    </w:p>
    <w:p w:rsidR="00021B73" w:rsidRDefault="00021B73" w:rsidP="00021B73">
      <w:pPr>
        <w:pStyle w:val="a9"/>
        <w:spacing w:after="240" w:line="360" w:lineRule="auto"/>
        <w:rPr>
          <w:rFonts w:ascii="Arial" w:eastAsia="Calibri" w:hAnsi="Arial"/>
          <w:b/>
          <w:bCs/>
          <w:noProof w:val="0"/>
          <w:rtl/>
        </w:rPr>
      </w:pPr>
      <w:r>
        <w:rPr>
          <w:rFonts w:ascii="Arial" w:eastAsia="Calibri" w:hAnsi="Arial"/>
          <w:b/>
          <w:bCs/>
          <w:noProof w:val="0"/>
          <w:rtl/>
        </w:rPr>
        <w:t>ת"ע</w:t>
      </w:r>
      <w:r>
        <w:rPr>
          <w:rFonts w:ascii="Arial" w:eastAsia="Calibri" w:hAnsi="Arial" w:hint="cs"/>
          <w:b/>
          <w:bCs/>
          <w:noProof w:val="0"/>
          <w:rtl/>
        </w:rPr>
        <w:t xml:space="preserve"> 26170-02-21 </w:t>
      </w:r>
      <w:r>
        <w:rPr>
          <w:rFonts w:ascii="Arial" w:eastAsia="Calibri" w:hAnsi="Arial"/>
          <w:b/>
          <w:bCs/>
          <w:noProof w:val="0"/>
          <w:rtl/>
        </w:rPr>
        <w:t>– התנגדות ל</w:t>
      </w:r>
      <w:r>
        <w:rPr>
          <w:rFonts w:ascii="Arial" w:eastAsia="Calibri" w:hAnsi="Arial" w:hint="cs"/>
          <w:b/>
          <w:bCs/>
          <w:noProof w:val="0"/>
          <w:rtl/>
        </w:rPr>
        <w:t>בקשה לקיום ה</w:t>
      </w:r>
      <w:r>
        <w:rPr>
          <w:rFonts w:ascii="Arial" w:eastAsia="Calibri" w:hAnsi="Arial"/>
          <w:b/>
          <w:bCs/>
          <w:noProof w:val="0"/>
          <w:rtl/>
        </w:rPr>
        <w:t>צוואה שהגישה המתנגדת;</w:t>
      </w:r>
    </w:p>
    <w:p w:rsidR="00021B73" w:rsidRDefault="00021B73" w:rsidP="00021B73">
      <w:pPr>
        <w:pStyle w:val="a9"/>
        <w:spacing w:after="240" w:line="360" w:lineRule="auto"/>
        <w:jc w:val="both"/>
        <w:rPr>
          <w:rFonts w:ascii="Arial" w:eastAsia="Calibri" w:hAnsi="Arial"/>
          <w:b/>
          <w:bCs/>
          <w:noProof w:val="0"/>
          <w:rtl/>
        </w:rPr>
      </w:pPr>
      <w:r>
        <w:rPr>
          <w:rFonts w:ascii="Arial" w:eastAsia="Calibri" w:hAnsi="Arial"/>
          <w:b/>
          <w:bCs/>
          <w:noProof w:val="0"/>
          <w:rtl/>
        </w:rPr>
        <w:t>ת"ע</w:t>
      </w:r>
      <w:r>
        <w:rPr>
          <w:rFonts w:ascii="Arial" w:eastAsia="Calibri" w:hAnsi="Arial" w:hint="cs"/>
          <w:b/>
          <w:bCs/>
          <w:noProof w:val="0"/>
          <w:rtl/>
        </w:rPr>
        <w:t xml:space="preserve"> 26166-02-21 </w:t>
      </w:r>
      <w:r>
        <w:rPr>
          <w:rFonts w:ascii="Arial" w:eastAsia="Calibri" w:hAnsi="Arial"/>
          <w:b/>
          <w:bCs/>
          <w:noProof w:val="0"/>
          <w:rtl/>
        </w:rPr>
        <w:t>–  בקשה לצו ירושה שהגישה המתנגדת</w:t>
      </w:r>
      <w:r>
        <w:rPr>
          <w:rFonts w:ascii="Arial" w:eastAsia="Calibri" w:hAnsi="Arial" w:hint="cs"/>
          <w:b/>
          <w:bCs/>
          <w:noProof w:val="0"/>
          <w:rtl/>
        </w:rPr>
        <w:t>;</w:t>
      </w:r>
    </w:p>
    <w:p w:rsidR="00021B73" w:rsidRPr="003F484E" w:rsidRDefault="00021B73" w:rsidP="00021B73">
      <w:pPr>
        <w:pStyle w:val="a9"/>
        <w:spacing w:after="240" w:line="360" w:lineRule="auto"/>
        <w:contextualSpacing w:val="0"/>
        <w:rPr>
          <w:rFonts w:ascii="Arial" w:eastAsia="Calibri" w:hAnsi="Arial"/>
          <w:b/>
          <w:bCs/>
          <w:noProof w:val="0"/>
        </w:rPr>
      </w:pPr>
      <w:r>
        <w:rPr>
          <w:rFonts w:ascii="Arial" w:eastAsia="Calibri" w:hAnsi="Arial"/>
          <w:b/>
          <w:bCs/>
          <w:noProof w:val="0"/>
          <w:rtl/>
        </w:rPr>
        <w:t>ת"ע</w:t>
      </w:r>
      <w:r>
        <w:rPr>
          <w:rFonts w:ascii="Arial" w:eastAsia="Calibri" w:hAnsi="Arial" w:hint="cs"/>
          <w:b/>
          <w:bCs/>
          <w:noProof w:val="0"/>
          <w:rtl/>
        </w:rPr>
        <w:t xml:space="preserve"> 26181-02-21 </w:t>
      </w:r>
      <w:r>
        <w:rPr>
          <w:rFonts w:ascii="Arial" w:eastAsia="Calibri" w:hAnsi="Arial"/>
          <w:b/>
          <w:bCs/>
          <w:noProof w:val="0"/>
          <w:rtl/>
        </w:rPr>
        <w:t>– התנגדות ל</w:t>
      </w:r>
      <w:r>
        <w:rPr>
          <w:rFonts w:ascii="Arial" w:eastAsia="Calibri" w:hAnsi="Arial" w:hint="cs"/>
          <w:b/>
          <w:bCs/>
          <w:noProof w:val="0"/>
          <w:rtl/>
        </w:rPr>
        <w:t>בקשה לצו ירושה</w:t>
      </w:r>
      <w:r>
        <w:rPr>
          <w:rFonts w:ascii="Arial" w:eastAsia="Calibri" w:hAnsi="Arial"/>
          <w:b/>
          <w:bCs/>
          <w:noProof w:val="0"/>
          <w:rtl/>
        </w:rPr>
        <w:t xml:space="preserve"> שהגישה המ</w:t>
      </w:r>
      <w:r>
        <w:rPr>
          <w:rFonts w:ascii="Arial" w:eastAsia="Calibri" w:hAnsi="Arial" w:hint="cs"/>
          <w:b/>
          <w:bCs/>
          <w:noProof w:val="0"/>
          <w:rtl/>
        </w:rPr>
        <w:t>בקשת.</w:t>
      </w:r>
    </w:p>
    <w:p w:rsidR="00021B73" w:rsidRDefault="00021B73" w:rsidP="00814B20">
      <w:pPr>
        <w:pStyle w:val="a9"/>
        <w:numPr>
          <w:ilvl w:val="0"/>
          <w:numId w:val="7"/>
        </w:numPr>
        <w:spacing w:after="240" w:line="360" w:lineRule="auto"/>
        <w:ind w:left="0" w:firstLine="0"/>
        <w:contextualSpacing w:val="0"/>
        <w:jc w:val="both"/>
        <w:rPr>
          <w:rFonts w:ascii="Arial" w:eastAsia="Calibri" w:hAnsi="Arial"/>
          <w:noProof w:val="0"/>
        </w:rPr>
      </w:pPr>
      <w:r w:rsidRPr="00814B20">
        <w:rPr>
          <w:rFonts w:ascii="Arial" w:eastAsia="Calibri" w:hAnsi="Arial"/>
          <w:noProof w:val="0"/>
          <w:rtl/>
        </w:rPr>
        <w:t xml:space="preserve">הגברת </w:t>
      </w:r>
      <w:sdt>
        <w:sdtPr>
          <w:rPr>
            <w:rFonts w:hint="cs"/>
            <w:b/>
            <w:bCs/>
            <w:noProof w:val="0"/>
            <w:sz w:val="26"/>
            <w:szCs w:val="26"/>
            <w:rtl/>
          </w:rPr>
          <w:alias w:val="1486"/>
          <w:tag w:val="1486"/>
          <w:id w:val="1296106882"/>
          <w:text w:multiLine="1"/>
        </w:sdtPr>
        <w:sdtEndPr/>
        <w:sdtContent>
          <w:r w:rsidR="00814B20" w:rsidRPr="00814B20">
            <w:rPr>
              <w:rStyle w:val="ad"/>
              <w:rFonts w:hint="cs"/>
              <w:b/>
              <w:bCs/>
              <w:color w:val="auto"/>
              <w:rtl/>
            </w:rPr>
            <w:t>פ'</w:t>
          </w:r>
          <w:r w:rsidRPr="00814B20">
            <w:rPr>
              <w:rStyle w:val="ad"/>
              <w:b/>
              <w:bCs/>
              <w:color w:val="auto"/>
              <w:rtl/>
            </w:rPr>
            <w:t xml:space="preserve"> </w:t>
          </w:r>
          <w:r w:rsidRPr="00814B20">
            <w:rPr>
              <w:rStyle w:val="ad"/>
              <w:rFonts w:hint="cs"/>
              <w:b/>
              <w:bCs/>
              <w:color w:val="auto"/>
              <w:rtl/>
            </w:rPr>
            <w:t>ז"ל</w:t>
          </w:r>
        </w:sdtContent>
      </w:sdt>
      <w:r w:rsidRPr="00814B20">
        <w:rPr>
          <w:rFonts w:ascii="Arial" w:eastAsia="Calibri" w:hAnsi="Arial"/>
          <w:noProof w:val="0"/>
          <w:rtl/>
        </w:rPr>
        <w:t xml:space="preserve"> נולדה </w:t>
      </w:r>
      <w:r>
        <w:rPr>
          <w:rFonts w:ascii="Arial" w:eastAsia="Calibri" w:hAnsi="Arial"/>
          <w:noProof w:val="0"/>
          <w:rtl/>
        </w:rPr>
        <w:t xml:space="preserve">ביום </w:t>
      </w:r>
      <w:r>
        <w:rPr>
          <w:rFonts w:ascii="Arial" w:eastAsia="Calibri" w:hAnsi="Arial" w:hint="cs"/>
          <w:noProof w:val="0"/>
          <w:rtl/>
        </w:rPr>
        <w:t>7.11.1933</w:t>
      </w:r>
      <w:r>
        <w:rPr>
          <w:rFonts w:ascii="Arial" w:eastAsia="Calibri" w:hAnsi="Arial"/>
          <w:noProof w:val="0"/>
          <w:rtl/>
        </w:rPr>
        <w:t xml:space="preserve"> (להלן:</w:t>
      </w:r>
      <w:r>
        <w:rPr>
          <w:rFonts w:ascii="Arial" w:eastAsia="Calibri" w:hAnsi="Arial"/>
          <w:b/>
          <w:bCs/>
          <w:noProof w:val="0"/>
          <w:rtl/>
        </w:rPr>
        <w:t xml:space="preserve"> "המנוחה"</w:t>
      </w:r>
      <w:r>
        <w:rPr>
          <w:rFonts w:ascii="Arial" w:eastAsia="Calibri" w:hAnsi="Arial"/>
          <w:noProof w:val="0"/>
          <w:rtl/>
        </w:rPr>
        <w:t>).</w:t>
      </w:r>
    </w:p>
    <w:p w:rsidR="00021B73" w:rsidRPr="00261754" w:rsidRDefault="00021B73" w:rsidP="00814B20">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המנוחה נישאה בחייה למר </w:t>
      </w:r>
      <w:r w:rsidR="00814B20">
        <w:rPr>
          <w:rFonts w:ascii="Arial" w:eastAsia="Calibri" w:hAnsi="Arial" w:hint="cs"/>
          <w:noProof w:val="0"/>
          <w:rtl/>
        </w:rPr>
        <w:t>ח'</w:t>
      </w:r>
      <w:r>
        <w:rPr>
          <w:rFonts w:ascii="Arial" w:eastAsia="Calibri" w:hAnsi="Arial" w:hint="cs"/>
          <w:noProof w:val="0"/>
          <w:rtl/>
        </w:rPr>
        <w:t xml:space="preserve">, ומנישואיהם נולדו שתי בנות. </w:t>
      </w:r>
    </w:p>
    <w:p w:rsidR="00021B73" w:rsidRDefault="00021B73" w:rsidP="00814B20">
      <w:pPr>
        <w:pStyle w:val="a9"/>
        <w:numPr>
          <w:ilvl w:val="0"/>
          <w:numId w:val="7"/>
        </w:numPr>
        <w:tabs>
          <w:tab w:val="left" w:pos="708"/>
        </w:tabs>
        <w:spacing w:after="240" w:line="360" w:lineRule="auto"/>
        <w:ind w:left="0" w:firstLine="0"/>
        <w:contextualSpacing w:val="0"/>
        <w:jc w:val="both"/>
        <w:rPr>
          <w:rFonts w:ascii="Arial" w:eastAsia="Calibri" w:hAnsi="Arial"/>
          <w:noProof w:val="0"/>
        </w:rPr>
      </w:pPr>
      <w:r>
        <w:rPr>
          <w:rFonts w:ascii="Arial" w:eastAsia="Calibri" w:hAnsi="Arial" w:hint="cs"/>
          <w:noProof w:val="0"/>
          <w:rtl/>
        </w:rPr>
        <w:t xml:space="preserve">ביום 1.10.1986 התגרשו המנוחה ומר </w:t>
      </w:r>
      <w:r w:rsidR="00814B20">
        <w:rPr>
          <w:rFonts w:ascii="Arial" w:eastAsia="Calibri" w:hAnsi="Arial" w:hint="cs"/>
          <w:noProof w:val="0"/>
          <w:rtl/>
        </w:rPr>
        <w:t>ח'</w:t>
      </w:r>
      <w:r>
        <w:rPr>
          <w:rFonts w:ascii="Arial" w:eastAsia="Calibri" w:hAnsi="Arial" w:hint="cs"/>
          <w:noProof w:val="0"/>
          <w:rtl/>
        </w:rPr>
        <w:t xml:space="preserve">. המנוחה לא נישאה בשנית ולא נולדו לה צאצאים נוספים. </w:t>
      </w:r>
    </w:p>
    <w:p w:rsidR="00021B73"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noProof w:val="0"/>
          <w:rtl/>
        </w:rPr>
        <w:t xml:space="preserve">היורשות על פי דין של המנוחה הן </w:t>
      </w:r>
      <w:r>
        <w:rPr>
          <w:rFonts w:ascii="Arial" w:eastAsia="Calibri" w:hAnsi="Arial" w:hint="cs"/>
          <w:noProof w:val="0"/>
          <w:rtl/>
        </w:rPr>
        <w:t xml:space="preserve">שתי בנותיה היחידות </w:t>
      </w:r>
      <w:r>
        <w:rPr>
          <w:rFonts w:ascii="Arial" w:eastAsia="Calibri" w:hAnsi="Arial"/>
          <w:noProof w:val="0"/>
          <w:rtl/>
        </w:rPr>
        <w:t>–</w:t>
      </w:r>
      <w:r>
        <w:rPr>
          <w:rFonts w:ascii="Arial" w:eastAsia="Calibri" w:hAnsi="Arial" w:hint="cs"/>
          <w:noProof w:val="0"/>
          <w:rtl/>
        </w:rPr>
        <w:t xml:space="preserve"> המבקשת והמתנגדת. </w:t>
      </w:r>
    </w:p>
    <w:p w:rsidR="00021B73" w:rsidRPr="003F484E" w:rsidRDefault="00021B73" w:rsidP="00C045A4">
      <w:pPr>
        <w:pStyle w:val="a9"/>
        <w:numPr>
          <w:ilvl w:val="0"/>
          <w:numId w:val="7"/>
        </w:numPr>
        <w:spacing w:after="120" w:line="360" w:lineRule="auto"/>
        <w:ind w:left="0" w:firstLine="0"/>
        <w:contextualSpacing w:val="0"/>
        <w:jc w:val="both"/>
        <w:rPr>
          <w:rFonts w:ascii="Arial" w:eastAsia="Calibri" w:hAnsi="Arial"/>
          <w:noProof w:val="0"/>
          <w:rtl/>
        </w:rPr>
      </w:pPr>
      <w:r w:rsidRPr="00261754">
        <w:rPr>
          <w:rFonts w:ascii="Arial" w:eastAsia="Calibri" w:hAnsi="Arial" w:hint="cs"/>
          <w:b/>
          <w:bCs/>
          <w:noProof w:val="0"/>
          <w:rtl/>
        </w:rPr>
        <w:lastRenderedPageBreak/>
        <w:t>ביום 22.10.2013</w:t>
      </w:r>
      <w:r>
        <w:rPr>
          <w:rFonts w:ascii="Arial" w:eastAsia="Calibri" w:hAnsi="Arial"/>
          <w:b/>
          <w:bCs/>
          <w:noProof w:val="0"/>
          <w:rtl/>
        </w:rPr>
        <w:t xml:space="preserve"> </w:t>
      </w:r>
      <w:r>
        <w:rPr>
          <w:rFonts w:ascii="Arial" w:eastAsia="Calibri" w:hAnsi="Arial" w:hint="cs"/>
          <w:b/>
          <w:bCs/>
          <w:noProof w:val="0"/>
          <w:rtl/>
        </w:rPr>
        <w:t xml:space="preserve">ערכה המנוחה צוואה בעדים </w:t>
      </w:r>
      <w:r>
        <w:rPr>
          <w:rFonts w:ascii="Arial" w:eastAsia="Calibri" w:hAnsi="Arial"/>
          <w:noProof w:val="0"/>
          <w:rtl/>
        </w:rPr>
        <w:t xml:space="preserve">(להלן: </w:t>
      </w:r>
      <w:r>
        <w:rPr>
          <w:rFonts w:ascii="Arial" w:eastAsia="Calibri" w:hAnsi="Arial"/>
          <w:b/>
          <w:bCs/>
          <w:noProof w:val="0"/>
          <w:rtl/>
        </w:rPr>
        <w:t>"הצוואה"</w:t>
      </w:r>
      <w:r>
        <w:rPr>
          <w:rFonts w:ascii="Arial" w:eastAsia="Calibri" w:hAnsi="Arial"/>
          <w:noProof w:val="0"/>
          <w:rtl/>
        </w:rPr>
        <w:t>). לשם הנוחות להלן העתק  הצוואה</w:t>
      </w:r>
      <w:r>
        <w:rPr>
          <w:rFonts w:ascii="Arial" w:eastAsia="Calibri" w:hAnsi="Arial" w:hint="cs"/>
          <w:noProof w:val="0"/>
          <w:rtl/>
        </w:rPr>
        <w:t xml:space="preserve"> הנפרשת על פני שני עמודים</w:t>
      </w:r>
      <w:r>
        <w:rPr>
          <w:rFonts w:ascii="Arial" w:eastAsia="Calibri" w:hAnsi="Arial"/>
          <w:noProof w:val="0"/>
          <w:rtl/>
        </w:rPr>
        <w:t>:</w:t>
      </w:r>
    </w:p>
    <w:p w:rsidR="00021B73" w:rsidRDefault="00C045A4" w:rsidP="00C045A4">
      <w:pPr>
        <w:pStyle w:val="a9"/>
        <w:ind w:left="0" w:firstLine="709"/>
        <w:contextualSpacing w:val="0"/>
        <w:jc w:val="both"/>
        <w:rPr>
          <w:rFonts w:ascii="Arial" w:eastAsia="Calibri" w:hAnsi="Arial"/>
          <w:noProof w:val="0"/>
          <w:rtl/>
        </w:rPr>
      </w:pPr>
      <w:r w:rsidRPr="00C045A4">
        <w:rPr>
          <w:rFonts w:ascii="Arial" w:eastAsia="Calibri" w:hAnsi="Arial"/>
          <w:rtl/>
        </w:rPr>
        <w:drawing>
          <wp:inline distT="0" distB="0" distL="0" distR="0" wp14:anchorId="54491767" wp14:editId="48D39C8A">
            <wp:extent cx="5400133" cy="3088257"/>
            <wp:effectExtent l="0" t="0" r="0" b="0"/>
            <wp:docPr id="195" name="תמונה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09466" cy="3093594"/>
                    </a:xfrm>
                    <a:prstGeom prst="rect">
                      <a:avLst/>
                    </a:prstGeom>
                  </pic:spPr>
                </pic:pic>
              </a:graphicData>
            </a:graphic>
          </wp:inline>
        </w:drawing>
      </w:r>
    </w:p>
    <w:p w:rsidR="00C045A4" w:rsidRDefault="00C045A4" w:rsidP="00021B73">
      <w:pPr>
        <w:pStyle w:val="a9"/>
        <w:spacing w:after="240" w:line="360" w:lineRule="auto"/>
        <w:ind w:left="0" w:firstLine="708"/>
        <w:contextualSpacing w:val="0"/>
        <w:jc w:val="both"/>
        <w:rPr>
          <w:rFonts w:ascii="Arial" w:eastAsia="Calibri" w:hAnsi="Arial"/>
          <w:noProof w:val="0"/>
        </w:rPr>
      </w:pPr>
      <w:r w:rsidRPr="00C045A4">
        <w:rPr>
          <w:rFonts w:ascii="Arial" w:eastAsia="Calibri" w:hAnsi="Arial"/>
          <w:rtl/>
        </w:rPr>
        <w:drawing>
          <wp:inline distT="0" distB="0" distL="0" distR="0" wp14:anchorId="1434999B" wp14:editId="349AB2BE">
            <wp:extent cx="5400231" cy="3562709"/>
            <wp:effectExtent l="0" t="0" r="0" b="0"/>
            <wp:docPr id="196" name="תמונה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7327" cy="3567390"/>
                    </a:xfrm>
                    <a:prstGeom prst="rect">
                      <a:avLst/>
                    </a:prstGeom>
                  </pic:spPr>
                </pic:pic>
              </a:graphicData>
            </a:graphic>
          </wp:inline>
        </w:drawing>
      </w:r>
    </w:p>
    <w:p w:rsidR="00021B73" w:rsidRDefault="00C045A4" w:rsidP="00C045A4">
      <w:pPr>
        <w:pStyle w:val="a9"/>
        <w:ind w:left="0" w:firstLine="709"/>
        <w:contextualSpacing w:val="0"/>
        <w:jc w:val="both"/>
        <w:rPr>
          <w:rFonts w:ascii="Arial" w:eastAsia="Calibri" w:hAnsi="Arial"/>
          <w:noProof w:val="0"/>
          <w:rtl/>
        </w:rPr>
      </w:pPr>
      <w:r w:rsidRPr="00C045A4">
        <w:rPr>
          <w:rFonts w:ascii="Arial" w:eastAsia="Calibri" w:hAnsi="Arial"/>
          <w:rtl/>
        </w:rPr>
        <w:lastRenderedPageBreak/>
        <w:drawing>
          <wp:inline distT="0" distB="0" distL="0" distR="0" wp14:anchorId="4C20A01D" wp14:editId="07B82DFE">
            <wp:extent cx="4847496" cy="3183147"/>
            <wp:effectExtent l="0" t="0" r="0" b="0"/>
            <wp:docPr id="197" name="תמונה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63304" cy="3193528"/>
                    </a:xfrm>
                    <a:prstGeom prst="rect">
                      <a:avLst/>
                    </a:prstGeom>
                  </pic:spPr>
                </pic:pic>
              </a:graphicData>
            </a:graphic>
          </wp:inline>
        </w:drawing>
      </w:r>
    </w:p>
    <w:p w:rsidR="00C045A4" w:rsidRDefault="00C045A4" w:rsidP="00021B73">
      <w:pPr>
        <w:pStyle w:val="a9"/>
        <w:spacing w:after="240" w:line="360" w:lineRule="auto"/>
        <w:ind w:left="0" w:firstLine="708"/>
        <w:contextualSpacing w:val="0"/>
        <w:jc w:val="both"/>
        <w:rPr>
          <w:rFonts w:ascii="Arial" w:eastAsia="Calibri" w:hAnsi="Arial"/>
          <w:noProof w:val="0"/>
        </w:rPr>
      </w:pPr>
      <w:r w:rsidRPr="00C045A4">
        <w:rPr>
          <w:rFonts w:ascii="Arial" w:eastAsia="Calibri" w:hAnsi="Arial"/>
          <w:rtl/>
        </w:rPr>
        <w:drawing>
          <wp:inline distT="0" distB="0" distL="0" distR="0" wp14:anchorId="6FA35D70" wp14:editId="0330F119">
            <wp:extent cx="4843145" cy="3700732"/>
            <wp:effectExtent l="0" t="0" r="0" b="0"/>
            <wp:docPr id="198" name="תמונה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53570" cy="3708698"/>
                    </a:xfrm>
                    <a:prstGeom prst="rect">
                      <a:avLst/>
                    </a:prstGeom>
                  </pic:spPr>
                </pic:pic>
              </a:graphicData>
            </a:graphic>
          </wp:inline>
        </w:drawing>
      </w:r>
    </w:p>
    <w:p w:rsidR="00021B73"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noProof w:val="0"/>
          <w:rtl/>
        </w:rPr>
        <w:lastRenderedPageBreak/>
        <w:t xml:space="preserve">בצוואתה ציוותה המנוחה את </w:t>
      </w:r>
      <w:r>
        <w:rPr>
          <w:rFonts w:ascii="Arial" w:eastAsia="Calibri" w:hAnsi="Arial" w:hint="cs"/>
          <w:noProof w:val="0"/>
          <w:rtl/>
        </w:rPr>
        <w:t xml:space="preserve">כל רכושה למבקשת תוך הדרת המתנגדת מעיזבונה לחלוטין. בסעיף 5 לצוואה המנוחה ציוותה, כי לו תלך המבקשת לעולמה לפניה, אזי תירש את כל רכושה נכדתה </w:t>
      </w:r>
      <w:r>
        <w:rPr>
          <w:rFonts w:ascii="Arial" w:eastAsia="Calibri" w:hAnsi="Arial"/>
          <w:noProof w:val="0"/>
          <w:rtl/>
        </w:rPr>
        <w:t>–</w:t>
      </w:r>
      <w:r>
        <w:rPr>
          <w:rFonts w:ascii="Arial" w:eastAsia="Calibri" w:hAnsi="Arial" w:hint="cs"/>
          <w:noProof w:val="0"/>
          <w:rtl/>
        </w:rPr>
        <w:t xml:space="preserve"> בתה של המבקשת (להלן: </w:t>
      </w:r>
      <w:r w:rsidRPr="00B6068D">
        <w:rPr>
          <w:rFonts w:ascii="Arial" w:eastAsia="Calibri" w:hAnsi="Arial" w:hint="cs"/>
          <w:b/>
          <w:bCs/>
          <w:noProof w:val="0"/>
          <w:rtl/>
        </w:rPr>
        <w:t>"הנכדה"</w:t>
      </w:r>
      <w:r>
        <w:rPr>
          <w:rFonts w:ascii="Arial" w:eastAsia="Calibri" w:hAnsi="Arial" w:hint="cs"/>
          <w:noProof w:val="0"/>
          <w:rtl/>
        </w:rPr>
        <w:t xml:space="preserve">). </w:t>
      </w:r>
    </w:p>
    <w:p w:rsidR="00021B73"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בסעיף 6 לצוואה, הנושא כותרת "</w:t>
      </w:r>
      <w:r w:rsidRPr="005D07BF">
        <w:rPr>
          <w:rFonts w:ascii="Arial" w:eastAsia="Calibri" w:hAnsi="Arial" w:hint="cs"/>
          <w:b/>
          <w:bCs/>
          <w:noProof w:val="0"/>
          <w:rtl/>
        </w:rPr>
        <w:t>דברי הסבר</w:t>
      </w:r>
      <w:r>
        <w:rPr>
          <w:rFonts w:ascii="Arial" w:eastAsia="Calibri" w:hAnsi="Arial" w:hint="cs"/>
          <w:noProof w:val="0"/>
          <w:rtl/>
        </w:rPr>
        <w:t xml:space="preserve">" </w:t>
      </w:r>
      <w:r>
        <w:rPr>
          <w:rFonts w:ascii="Arial" w:eastAsia="Calibri" w:hAnsi="Arial"/>
          <w:noProof w:val="0"/>
          <w:rtl/>
        </w:rPr>
        <w:t>–</w:t>
      </w:r>
      <w:r>
        <w:rPr>
          <w:rFonts w:ascii="Arial" w:eastAsia="Calibri" w:hAnsi="Arial" w:hint="cs"/>
          <w:noProof w:val="0"/>
          <w:rtl/>
        </w:rPr>
        <w:t xml:space="preserve"> מופיע הסבר לסיבת ההדרה, ולפיו המתנגדת מבוססת מבחינה כלכלית ואינה סובלת מכל מחסור וזאת בניגוד למבקשת שהינה אם חד הורית, מובטלת, חסרת נכסים וביטחון כלכלי.</w:t>
      </w:r>
    </w:p>
    <w:p w:rsidR="00021B73" w:rsidRDefault="00021B73" w:rsidP="00021B73">
      <w:pPr>
        <w:pStyle w:val="a9"/>
        <w:numPr>
          <w:ilvl w:val="0"/>
          <w:numId w:val="7"/>
        </w:numPr>
        <w:spacing w:after="240" w:line="360" w:lineRule="auto"/>
        <w:ind w:left="708" w:hanging="708"/>
        <w:contextualSpacing w:val="0"/>
        <w:jc w:val="both"/>
        <w:rPr>
          <w:rFonts w:ascii="Arial" w:eastAsia="Calibri" w:hAnsi="Arial"/>
          <w:noProof w:val="0"/>
        </w:rPr>
      </w:pPr>
      <w:r w:rsidRPr="008406A7">
        <w:rPr>
          <w:rFonts w:ascii="Arial" w:eastAsia="Calibri" w:hAnsi="Arial"/>
          <w:b/>
          <w:bCs/>
          <w:noProof w:val="0"/>
          <w:rtl/>
        </w:rPr>
        <w:t xml:space="preserve">ביום </w:t>
      </w:r>
      <w:r w:rsidRPr="008406A7">
        <w:rPr>
          <w:rFonts w:ascii="Arial" w:eastAsia="Calibri" w:hAnsi="Arial" w:hint="cs"/>
          <w:b/>
          <w:bCs/>
          <w:noProof w:val="0"/>
          <w:rtl/>
        </w:rPr>
        <w:t>4.9.2020</w:t>
      </w:r>
      <w:r>
        <w:rPr>
          <w:rFonts w:ascii="Arial" w:eastAsia="Calibri" w:hAnsi="Arial" w:hint="cs"/>
          <w:noProof w:val="0"/>
          <w:rtl/>
        </w:rPr>
        <w:t xml:space="preserve"> </w:t>
      </w:r>
      <w:r>
        <w:rPr>
          <w:rFonts w:ascii="Arial" w:eastAsia="Calibri" w:hAnsi="Arial"/>
          <w:noProof w:val="0"/>
          <w:rtl/>
        </w:rPr>
        <w:t>המנוחה הלכה לבית עולמה.</w:t>
      </w:r>
    </w:p>
    <w:p w:rsidR="00021B73"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sidRPr="008406A7">
        <w:rPr>
          <w:rFonts w:ascii="Arial" w:eastAsia="Calibri" w:hAnsi="Arial" w:hint="cs"/>
          <w:b/>
          <w:bCs/>
          <w:noProof w:val="0"/>
          <w:rtl/>
        </w:rPr>
        <w:t>ביום 8.12.2020</w:t>
      </w:r>
      <w:r>
        <w:rPr>
          <w:rFonts w:ascii="Arial" w:eastAsia="Calibri" w:hAnsi="Arial" w:hint="cs"/>
          <w:noProof w:val="0"/>
          <w:rtl/>
        </w:rPr>
        <w:t xml:space="preserve"> הגישה המבקשת את הבקשה לצו קיום צוואה. </w:t>
      </w:r>
    </w:p>
    <w:p w:rsidR="00021B73" w:rsidRPr="001B5EEB" w:rsidRDefault="00021B73" w:rsidP="00021B73">
      <w:pPr>
        <w:pStyle w:val="a9"/>
        <w:numPr>
          <w:ilvl w:val="0"/>
          <w:numId w:val="7"/>
        </w:numPr>
        <w:spacing w:after="240" w:line="360" w:lineRule="auto"/>
        <w:ind w:left="0" w:firstLine="0"/>
        <w:contextualSpacing w:val="0"/>
        <w:jc w:val="both"/>
        <w:rPr>
          <w:rFonts w:ascii="Arial" w:eastAsia="Calibri" w:hAnsi="Arial"/>
          <w:b/>
          <w:bCs/>
          <w:noProof w:val="0"/>
        </w:rPr>
      </w:pPr>
      <w:r w:rsidRPr="001B5EEB">
        <w:rPr>
          <w:rFonts w:ascii="Arial" w:eastAsia="Calibri" w:hAnsi="Arial" w:hint="cs"/>
          <w:noProof w:val="0"/>
          <w:rtl/>
        </w:rPr>
        <w:t xml:space="preserve">המתנגדת הגישה את כתב התנגדותה לבקשה ובקשה למתן צו ירושה.  כתב ההתנגדות אוחז שלוש טענות עיקריות לביטול הצוואה </w:t>
      </w:r>
      <w:r w:rsidRPr="001B5EEB">
        <w:rPr>
          <w:rFonts w:ascii="Arial" w:eastAsia="Calibri" w:hAnsi="Arial"/>
          <w:noProof w:val="0"/>
          <w:rtl/>
        </w:rPr>
        <w:t>–</w:t>
      </w:r>
      <w:r w:rsidRPr="001B5EEB">
        <w:rPr>
          <w:rFonts w:ascii="Arial" w:eastAsia="Calibri" w:hAnsi="Arial" w:hint="cs"/>
          <w:noProof w:val="0"/>
          <w:rtl/>
        </w:rPr>
        <w:t xml:space="preserve"> </w:t>
      </w:r>
      <w:r w:rsidRPr="001B5EEB">
        <w:rPr>
          <w:rFonts w:ascii="Arial" w:eastAsia="Calibri" w:hAnsi="Arial" w:hint="cs"/>
          <w:b/>
          <w:bCs/>
          <w:noProof w:val="0"/>
          <w:rtl/>
        </w:rPr>
        <w:t>היעדר כשירות המנוחה; נטילת חלק בעריכת הצוואה; והשפעה בלתי הוגנת.</w:t>
      </w:r>
    </w:p>
    <w:p w:rsidR="00021B73" w:rsidRPr="00A317EC" w:rsidRDefault="00021B73" w:rsidP="00021B73">
      <w:pPr>
        <w:pStyle w:val="a9"/>
        <w:numPr>
          <w:ilvl w:val="0"/>
          <w:numId w:val="7"/>
        </w:numPr>
        <w:spacing w:after="240" w:line="360" w:lineRule="auto"/>
        <w:ind w:left="0" w:firstLine="0"/>
        <w:contextualSpacing w:val="0"/>
        <w:jc w:val="both"/>
        <w:rPr>
          <w:rFonts w:ascii="Arial" w:eastAsia="Calibri" w:hAnsi="Arial"/>
          <w:b/>
          <w:bCs/>
          <w:noProof w:val="0"/>
        </w:rPr>
      </w:pPr>
      <w:r>
        <w:rPr>
          <w:rFonts w:ascii="Arial" w:eastAsia="Calibri" w:hAnsi="Arial" w:hint="cs"/>
          <w:noProof w:val="0"/>
          <w:rtl/>
        </w:rPr>
        <w:t xml:space="preserve">לנוכח הטענה להיעדר כשירות, בהחלטה מיום 15.2.2022 מונה פרופ' שמואל פניג (להלן: </w:t>
      </w:r>
      <w:r w:rsidRPr="00783E7D">
        <w:rPr>
          <w:rFonts w:ascii="Arial" w:eastAsia="Calibri" w:hAnsi="Arial" w:hint="cs"/>
          <w:b/>
          <w:bCs/>
          <w:noProof w:val="0"/>
          <w:rtl/>
        </w:rPr>
        <w:t>"המומחה"</w:t>
      </w:r>
      <w:r>
        <w:rPr>
          <w:rFonts w:ascii="Arial" w:eastAsia="Calibri" w:hAnsi="Arial" w:hint="cs"/>
          <w:noProof w:val="0"/>
          <w:rtl/>
        </w:rPr>
        <w:t xml:space="preserve">) כמומחה מטעם בית המשפט לצורך בחינת השאלה </w:t>
      </w:r>
      <w:r w:rsidRPr="00A317EC">
        <w:rPr>
          <w:rFonts w:ascii="Arial" w:eastAsia="Calibri" w:hAnsi="Arial" w:hint="cs"/>
          <w:b/>
          <w:bCs/>
          <w:noProof w:val="0"/>
          <w:rtl/>
        </w:rPr>
        <w:t xml:space="preserve">האם המנוחה ידעה להבחין בטיבה של צוואה במועד עריכתה. </w:t>
      </w:r>
    </w:p>
    <w:p w:rsidR="00021B73" w:rsidRPr="00DD4D2C"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sidRPr="00DD4D2C">
        <w:rPr>
          <w:rFonts w:ascii="Arial" w:eastAsia="Calibri" w:hAnsi="Arial" w:hint="cs"/>
          <w:b/>
          <w:bCs/>
          <w:noProof w:val="0"/>
          <w:rtl/>
        </w:rPr>
        <w:t>ביום 9.6.2022 הוגשה חוות דעת המומחה לתיק בית המשפט</w:t>
      </w:r>
      <w:r w:rsidRPr="00DD4D2C">
        <w:rPr>
          <w:rFonts w:ascii="Arial" w:eastAsia="Calibri" w:hAnsi="Arial" w:hint="cs"/>
          <w:noProof w:val="0"/>
          <w:rtl/>
        </w:rPr>
        <w:t xml:space="preserve"> (להלן: </w:t>
      </w:r>
      <w:r w:rsidRPr="00DD4D2C">
        <w:rPr>
          <w:rFonts w:ascii="Arial" w:eastAsia="Calibri" w:hAnsi="Arial" w:hint="cs"/>
          <w:b/>
          <w:bCs/>
          <w:noProof w:val="0"/>
          <w:rtl/>
        </w:rPr>
        <w:t>"חוות הדעת"</w:t>
      </w:r>
      <w:r w:rsidRPr="00DD4D2C">
        <w:rPr>
          <w:rFonts w:ascii="Arial" w:eastAsia="Calibri" w:hAnsi="Arial" w:hint="cs"/>
          <w:noProof w:val="0"/>
          <w:rtl/>
        </w:rPr>
        <w:t xml:space="preserve">). המומחה השיב לשאלות הבהרה שהופנו אליו מטעם המתנגדת והצדדים הסכימו שאין צורך בחקירתו. </w:t>
      </w:r>
    </w:p>
    <w:p w:rsidR="00021B73" w:rsidRPr="005F7151" w:rsidRDefault="00021B73" w:rsidP="00021B73">
      <w:pPr>
        <w:pStyle w:val="a9"/>
        <w:numPr>
          <w:ilvl w:val="0"/>
          <w:numId w:val="7"/>
        </w:numPr>
        <w:spacing w:after="240" w:line="360" w:lineRule="auto"/>
        <w:ind w:left="0" w:firstLine="0"/>
        <w:contextualSpacing w:val="0"/>
        <w:jc w:val="both"/>
        <w:rPr>
          <w:rFonts w:ascii="Arial" w:eastAsia="Calibri" w:hAnsi="Arial"/>
          <w:b/>
          <w:bCs/>
          <w:noProof w:val="0"/>
        </w:rPr>
      </w:pPr>
      <w:r w:rsidRPr="00DD4D2C">
        <w:rPr>
          <w:rFonts w:ascii="Arial" w:eastAsia="Calibri" w:hAnsi="Arial" w:hint="cs"/>
          <w:b/>
          <w:bCs/>
          <w:noProof w:val="0"/>
          <w:rtl/>
        </w:rPr>
        <w:t xml:space="preserve">בדיון מיום 10.1.2023 הודיעה המתנגדת, כי </w:t>
      </w:r>
      <w:r>
        <w:rPr>
          <w:rFonts w:ascii="Arial" w:eastAsia="Calibri" w:hAnsi="Arial" w:hint="cs"/>
          <w:b/>
          <w:bCs/>
          <w:noProof w:val="0"/>
          <w:rtl/>
        </w:rPr>
        <w:t>היא אינה עומדת עוד</w:t>
      </w:r>
      <w:r w:rsidRPr="00DD4D2C">
        <w:rPr>
          <w:rFonts w:ascii="Arial" w:eastAsia="Calibri" w:hAnsi="Arial" w:hint="cs"/>
          <w:b/>
          <w:bCs/>
          <w:noProof w:val="0"/>
          <w:rtl/>
        </w:rPr>
        <w:t xml:space="preserve"> על טענתה להיעדר כשירות המנוחה, כך ששתי הטענות הדרושות בירור הן:</w:t>
      </w:r>
      <w:r>
        <w:rPr>
          <w:rFonts w:ascii="Arial" w:eastAsia="Calibri" w:hAnsi="Arial" w:hint="cs"/>
          <w:noProof w:val="0"/>
          <w:rtl/>
        </w:rPr>
        <w:t xml:space="preserve"> </w:t>
      </w:r>
      <w:r w:rsidRPr="005F7151">
        <w:rPr>
          <w:rFonts w:ascii="Arial" w:eastAsia="Calibri" w:hAnsi="Arial" w:hint="cs"/>
          <w:b/>
          <w:bCs/>
          <w:noProof w:val="0"/>
          <w:rtl/>
        </w:rPr>
        <w:t xml:space="preserve">מעורבות בעריכת הצוואה והשפעה בלתי הוגנת. </w:t>
      </w:r>
    </w:p>
    <w:p w:rsidR="00021B73"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noProof w:val="0"/>
          <w:rtl/>
        </w:rPr>
        <w:t xml:space="preserve">ביום </w:t>
      </w:r>
      <w:r>
        <w:rPr>
          <w:rFonts w:ascii="Arial" w:eastAsia="Calibri" w:hAnsi="Arial" w:hint="cs"/>
          <w:noProof w:val="0"/>
          <w:rtl/>
        </w:rPr>
        <w:t>11.6.2023</w:t>
      </w:r>
      <w:r>
        <w:rPr>
          <w:rFonts w:ascii="Arial" w:eastAsia="Calibri" w:hAnsi="Arial"/>
          <w:noProof w:val="0"/>
          <w:rtl/>
        </w:rPr>
        <w:t xml:space="preserve"> התקיים דיון הוכחות </w:t>
      </w:r>
      <w:r>
        <w:rPr>
          <w:rFonts w:ascii="Arial" w:eastAsia="Calibri" w:hAnsi="Arial" w:hint="cs"/>
          <w:noProof w:val="0"/>
          <w:rtl/>
        </w:rPr>
        <w:t xml:space="preserve">(להלן: </w:t>
      </w:r>
      <w:r w:rsidRPr="006E5246">
        <w:rPr>
          <w:rFonts w:ascii="Arial" w:eastAsia="Calibri" w:hAnsi="Arial" w:hint="cs"/>
          <w:b/>
          <w:bCs/>
          <w:noProof w:val="0"/>
          <w:rtl/>
        </w:rPr>
        <w:t>"הדיון"</w:t>
      </w:r>
      <w:r>
        <w:rPr>
          <w:rFonts w:ascii="Arial" w:eastAsia="Calibri" w:hAnsi="Arial" w:hint="cs"/>
          <w:noProof w:val="0"/>
          <w:rtl/>
        </w:rPr>
        <w:t xml:space="preserve">). </w:t>
      </w:r>
    </w:p>
    <w:p w:rsidR="00021B73" w:rsidRDefault="00021B73" w:rsidP="00D97E68">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hint="cs"/>
          <w:noProof w:val="0"/>
          <w:rtl/>
        </w:rPr>
        <w:t>בדיון</w:t>
      </w:r>
      <w:r>
        <w:rPr>
          <w:rFonts w:ascii="Arial" w:eastAsia="Calibri" w:hAnsi="Arial"/>
          <w:noProof w:val="0"/>
          <w:rtl/>
        </w:rPr>
        <w:t xml:space="preserve"> נחקרו </w:t>
      </w:r>
      <w:r>
        <w:rPr>
          <w:rFonts w:ascii="Arial" w:eastAsia="Calibri" w:hAnsi="Arial" w:hint="cs"/>
          <w:noProof w:val="0"/>
          <w:rtl/>
        </w:rPr>
        <w:t>העדים לצוואה: עו"ד אל</w:t>
      </w:r>
      <w:r w:rsidR="00D97E68">
        <w:rPr>
          <w:rFonts w:ascii="Arial" w:eastAsia="Calibri" w:hAnsi="Arial" w:hint="cs"/>
          <w:noProof w:val="0"/>
          <w:rtl/>
        </w:rPr>
        <w:t>'</w:t>
      </w:r>
      <w:r>
        <w:rPr>
          <w:rFonts w:ascii="Arial" w:eastAsia="Calibri" w:hAnsi="Arial" w:hint="cs"/>
          <w:noProof w:val="0"/>
          <w:rtl/>
        </w:rPr>
        <w:t xml:space="preserve"> (להלן: </w:t>
      </w:r>
      <w:r w:rsidRPr="0047388A">
        <w:rPr>
          <w:rFonts w:ascii="Arial" w:eastAsia="Calibri" w:hAnsi="Arial" w:hint="cs"/>
          <w:b/>
          <w:bCs/>
          <w:noProof w:val="0"/>
          <w:rtl/>
        </w:rPr>
        <w:t xml:space="preserve">"עו"ד </w:t>
      </w:r>
      <w:r w:rsidR="00D97E68">
        <w:rPr>
          <w:rFonts w:ascii="Arial" w:eastAsia="Calibri" w:hAnsi="Arial" w:hint="cs"/>
          <w:b/>
          <w:bCs/>
          <w:noProof w:val="0"/>
          <w:rtl/>
        </w:rPr>
        <w:t xml:space="preserve">אל' </w:t>
      </w:r>
      <w:r w:rsidRPr="0047388A">
        <w:rPr>
          <w:rFonts w:ascii="Arial" w:eastAsia="Calibri" w:hAnsi="Arial" w:hint="cs"/>
          <w:b/>
          <w:bCs/>
          <w:noProof w:val="0"/>
          <w:rtl/>
        </w:rPr>
        <w:t>"</w:t>
      </w:r>
      <w:r>
        <w:rPr>
          <w:rFonts w:ascii="Arial" w:eastAsia="Calibri" w:hAnsi="Arial" w:hint="cs"/>
          <w:noProof w:val="0"/>
          <w:rtl/>
        </w:rPr>
        <w:t>) ועו"ד ש</w:t>
      </w:r>
      <w:r w:rsidR="00D97E68">
        <w:rPr>
          <w:rFonts w:ascii="Arial" w:eastAsia="Calibri" w:hAnsi="Arial" w:hint="cs"/>
          <w:noProof w:val="0"/>
          <w:rtl/>
        </w:rPr>
        <w:t xml:space="preserve">' </w:t>
      </w:r>
      <w:r>
        <w:rPr>
          <w:rFonts w:ascii="Arial" w:eastAsia="Calibri" w:hAnsi="Arial" w:hint="cs"/>
          <w:noProof w:val="0"/>
          <w:rtl/>
        </w:rPr>
        <w:t xml:space="preserve">, שגם ערכה את הצוואה (להלן: </w:t>
      </w:r>
      <w:r w:rsidRPr="0047388A">
        <w:rPr>
          <w:rFonts w:ascii="Arial" w:eastAsia="Calibri" w:hAnsi="Arial" w:hint="cs"/>
          <w:b/>
          <w:bCs/>
          <w:noProof w:val="0"/>
          <w:rtl/>
        </w:rPr>
        <w:t xml:space="preserve">"עו"ד </w:t>
      </w:r>
      <w:r w:rsidR="00D97E68">
        <w:rPr>
          <w:rFonts w:ascii="Arial" w:eastAsia="Calibri" w:hAnsi="Arial" w:hint="cs"/>
          <w:b/>
          <w:bCs/>
          <w:noProof w:val="0"/>
          <w:rtl/>
        </w:rPr>
        <w:t xml:space="preserve">ש' </w:t>
      </w:r>
      <w:r w:rsidRPr="0047388A">
        <w:rPr>
          <w:rFonts w:ascii="Arial" w:eastAsia="Calibri" w:hAnsi="Arial" w:hint="cs"/>
          <w:b/>
          <w:bCs/>
          <w:noProof w:val="0"/>
          <w:rtl/>
        </w:rPr>
        <w:t>"</w:t>
      </w:r>
      <w:r>
        <w:rPr>
          <w:rFonts w:ascii="Arial" w:eastAsia="Calibri" w:hAnsi="Arial" w:hint="cs"/>
          <w:noProof w:val="0"/>
          <w:rtl/>
        </w:rPr>
        <w:t xml:space="preserve">); הגברת ג' </w:t>
      </w:r>
      <w:r>
        <w:rPr>
          <w:rFonts w:ascii="Arial" w:eastAsia="Calibri" w:hAnsi="Arial"/>
          <w:noProof w:val="0"/>
          <w:rtl/>
        </w:rPr>
        <w:t>–</w:t>
      </w:r>
      <w:r>
        <w:rPr>
          <w:rFonts w:ascii="Arial" w:eastAsia="Calibri" w:hAnsi="Arial" w:hint="cs"/>
          <w:noProof w:val="0"/>
          <w:rtl/>
        </w:rPr>
        <w:t xml:space="preserve"> עובדת סוציאלית בשירות לאזרח הוותיק ומשפחתו, אשר ליוותה את הטיפול במנוחה החל מיום 1.5.2014 ועד לפטירתה (להלן: </w:t>
      </w:r>
      <w:r w:rsidRPr="0047388A">
        <w:rPr>
          <w:rFonts w:ascii="Arial" w:eastAsia="Calibri" w:hAnsi="Arial" w:hint="cs"/>
          <w:b/>
          <w:bCs/>
          <w:noProof w:val="0"/>
          <w:rtl/>
        </w:rPr>
        <w:t>"העו"ס"</w:t>
      </w:r>
      <w:r>
        <w:rPr>
          <w:rFonts w:ascii="Arial" w:eastAsia="Calibri" w:hAnsi="Arial" w:hint="cs"/>
          <w:noProof w:val="0"/>
          <w:rtl/>
        </w:rPr>
        <w:t>); המתנגדת והמבקשת.</w:t>
      </w:r>
    </w:p>
    <w:p w:rsidR="00021B73" w:rsidRDefault="00021B73" w:rsidP="00021B73">
      <w:pPr>
        <w:pStyle w:val="a9"/>
        <w:numPr>
          <w:ilvl w:val="0"/>
          <w:numId w:val="7"/>
        </w:numPr>
        <w:spacing w:after="240" w:line="360" w:lineRule="auto"/>
        <w:ind w:left="0" w:firstLine="0"/>
        <w:contextualSpacing w:val="0"/>
        <w:jc w:val="both"/>
        <w:rPr>
          <w:rFonts w:ascii="Arial" w:eastAsia="Calibri" w:hAnsi="Arial"/>
          <w:noProof w:val="0"/>
        </w:rPr>
      </w:pPr>
      <w:r>
        <w:rPr>
          <w:rFonts w:ascii="Arial" w:eastAsia="Calibri" w:hAnsi="Arial"/>
          <w:noProof w:val="0"/>
          <w:rtl/>
        </w:rPr>
        <w:t xml:space="preserve">הצדדים הגישו את סיכומי טענותיהם ועתה הגיעה העת למתן פסק הדין. </w:t>
      </w:r>
    </w:p>
    <w:p w:rsidR="008F14F4" w:rsidRDefault="008F14F4" w:rsidP="00021B73">
      <w:pPr>
        <w:spacing w:after="120" w:line="360" w:lineRule="auto"/>
        <w:jc w:val="both"/>
        <w:rPr>
          <w:rFonts w:ascii="Arial" w:eastAsia="Calibri" w:hAnsi="Arial"/>
          <w:b/>
          <w:bCs/>
          <w:noProof w:val="0"/>
          <w:sz w:val="28"/>
          <w:szCs w:val="28"/>
          <w:u w:val="single"/>
          <w:rtl/>
        </w:rPr>
      </w:pPr>
    </w:p>
    <w:p w:rsidR="00021B73" w:rsidRDefault="00021B73" w:rsidP="00021B73">
      <w:pPr>
        <w:spacing w:after="120" w:line="360" w:lineRule="auto"/>
        <w:jc w:val="both"/>
        <w:rPr>
          <w:rFonts w:ascii="Arial" w:eastAsia="Calibri" w:hAnsi="Arial"/>
          <w:b/>
          <w:bCs/>
          <w:noProof w:val="0"/>
          <w:sz w:val="28"/>
          <w:szCs w:val="28"/>
          <w:rtl/>
        </w:rPr>
      </w:pPr>
      <w:r>
        <w:rPr>
          <w:rFonts w:ascii="Arial" w:eastAsia="Calibri" w:hAnsi="Arial"/>
          <w:b/>
          <w:bCs/>
          <w:noProof w:val="0"/>
          <w:sz w:val="28"/>
          <w:szCs w:val="28"/>
          <w:u w:val="single"/>
          <w:rtl/>
        </w:rPr>
        <w:lastRenderedPageBreak/>
        <w:t>דיון והכרעה</w:t>
      </w:r>
    </w:p>
    <w:p w:rsidR="00021B73" w:rsidRDefault="00021B73" w:rsidP="00021B73">
      <w:pPr>
        <w:spacing w:after="120" w:line="360" w:lineRule="auto"/>
        <w:jc w:val="both"/>
        <w:rPr>
          <w:rFonts w:ascii="Arial" w:eastAsia="Calibri" w:hAnsi="Arial"/>
          <w:b/>
          <w:bCs/>
          <w:noProof w:val="0"/>
          <w:sz w:val="28"/>
          <w:szCs w:val="28"/>
          <w:u w:val="single"/>
          <w:rtl/>
        </w:rPr>
      </w:pPr>
      <w:r>
        <w:rPr>
          <w:rFonts w:ascii="Arial" w:eastAsia="Calibri" w:hAnsi="Arial"/>
          <w:b/>
          <w:bCs/>
          <w:noProof w:val="0"/>
          <w:sz w:val="28"/>
          <w:szCs w:val="28"/>
          <w:u w:val="single"/>
          <w:rtl/>
        </w:rPr>
        <w:t>עקרון כיבוד רצון המת וחשיבותו</w:t>
      </w:r>
    </w:p>
    <w:p w:rsidR="00021B73" w:rsidRDefault="00021B73" w:rsidP="00021B73">
      <w:pPr>
        <w:pStyle w:val="a9"/>
        <w:numPr>
          <w:ilvl w:val="0"/>
          <w:numId w:val="7"/>
        </w:numPr>
        <w:spacing w:after="240" w:line="360" w:lineRule="auto"/>
        <w:ind w:left="0" w:firstLine="0"/>
        <w:contextualSpacing w:val="0"/>
        <w:jc w:val="both"/>
        <w:rPr>
          <w:rFonts w:ascii="David" w:eastAsia="Calibri" w:hAnsi="David"/>
          <w:noProof w:val="0"/>
        </w:rPr>
      </w:pPr>
      <w:r>
        <w:rPr>
          <w:rFonts w:ascii="David" w:eastAsia="Calibri" w:hAnsi="David"/>
          <w:noProof w:val="0"/>
          <w:rtl/>
        </w:rPr>
        <w:t xml:space="preserve">נקודת המוצא שממנה ראוי להתחיל את הדיון נוגעת לעקרון </w:t>
      </w:r>
      <w:r>
        <w:rPr>
          <w:rFonts w:ascii="David" w:eastAsia="Calibri" w:hAnsi="David"/>
          <w:b/>
          <w:bCs/>
          <w:noProof w:val="0"/>
          <w:rtl/>
        </w:rPr>
        <w:t>כיבוד רצון המת</w:t>
      </w:r>
      <w:r>
        <w:rPr>
          <w:rFonts w:ascii="David" w:eastAsia="Calibri" w:hAnsi="David"/>
          <w:noProof w:val="0"/>
          <w:rtl/>
        </w:rPr>
        <w:t>. ההנחה היא, כי צוואה מבטאת את רצונו האמתי והכן של המצווה אשר לאופן, שבו יחולק עיזבונו לאחר לכתו מן העולם. נוסף על כך, כיבוד צוואתו של המנוח מביא לידי ביטוי את האוטונומיה של המצווה כפרט ואת זכות בעלותו על קניינו (בע"מ 4990/12</w:t>
      </w:r>
      <w:r>
        <w:rPr>
          <w:rFonts w:ascii="David" w:eastAsia="Calibri" w:hAnsi="David"/>
          <w:b/>
          <w:bCs/>
          <w:noProof w:val="0"/>
          <w:rtl/>
        </w:rPr>
        <w:t xml:space="preserve"> מיכאל זילברסון נ' חנן זילברסון</w:t>
      </w:r>
      <w:r>
        <w:rPr>
          <w:rFonts w:ascii="David" w:eastAsia="Calibri" w:hAnsi="David"/>
          <w:noProof w:val="0"/>
          <w:rtl/>
        </w:rPr>
        <w:t xml:space="preserve"> (13.11.2012)). </w:t>
      </w:r>
    </w:p>
    <w:p w:rsidR="00021B73" w:rsidRDefault="00021B73" w:rsidP="00021B73">
      <w:pPr>
        <w:pStyle w:val="a9"/>
        <w:spacing w:after="120" w:line="360" w:lineRule="auto"/>
        <w:ind w:left="0" w:firstLine="709"/>
        <w:contextualSpacing w:val="0"/>
        <w:jc w:val="both"/>
        <w:rPr>
          <w:rFonts w:ascii="David" w:eastAsia="Calibri" w:hAnsi="David"/>
          <w:noProof w:val="0"/>
        </w:rPr>
      </w:pPr>
      <w:r>
        <w:rPr>
          <w:rFonts w:ascii="David" w:eastAsia="Calibri" w:hAnsi="David"/>
          <w:noProof w:val="0"/>
          <w:rtl/>
        </w:rPr>
        <w:t xml:space="preserve">היטיב לסכם עקרון זה כבוד השופט בדימוס א' ברק בספרו: פרשנות במשפט כרך חמישי, </w:t>
      </w:r>
      <w:r>
        <w:rPr>
          <w:rFonts w:ascii="David" w:eastAsia="Calibri" w:hAnsi="David"/>
          <w:b/>
          <w:bCs/>
          <w:noProof w:val="0"/>
          <w:rtl/>
        </w:rPr>
        <w:t>פרשנות הצוואה</w:t>
      </w:r>
      <w:r>
        <w:rPr>
          <w:rFonts w:ascii="David" w:eastAsia="Calibri" w:hAnsi="David"/>
          <w:noProof w:val="0"/>
          <w:rtl/>
        </w:rPr>
        <w:t xml:space="preserve"> (תשס"א), 59-58:</w:t>
      </w:r>
    </w:p>
    <w:p w:rsidR="00021B73" w:rsidRDefault="00021B73" w:rsidP="00021B73">
      <w:pPr>
        <w:tabs>
          <w:tab w:val="left" w:pos="4904"/>
          <w:tab w:val="left" w:pos="7229"/>
        </w:tabs>
        <w:spacing w:after="360"/>
        <w:ind w:left="1134" w:right="1134"/>
        <w:jc w:val="both"/>
        <w:outlineLvl w:val="1"/>
        <w:rPr>
          <w:rFonts w:ascii="David" w:eastAsia="Calibri" w:hAnsi="David"/>
          <w:b/>
          <w:bCs/>
          <w:noProof w:val="0"/>
          <w:rtl/>
        </w:rPr>
      </w:pPr>
      <w:r>
        <w:rPr>
          <w:rFonts w:ascii="David" w:eastAsia="Calibri" w:hAnsi="David"/>
          <w:b/>
          <w:bCs/>
          <w:noProof w:val="0"/>
          <w:rtl/>
        </w:rPr>
        <w:t xml:space="preserve">"זהו עיקרון ידוע של המשפט העברי, ולפיו 'מצווה לקיים דברי המת'. הוא מהווה חלק מתרבותנו הכללית והמשפטית. הוא נגזר מהאוטונומיה של הרצון הפרטי, המהווה חלק מהזכות החוקתית בדבר כבוד האדם. הוא מתבקש מזכות הקניין, שזכתה להגנה חוקתית בישראל. על הפרשן לשקף חשיבות חוקתית זו של הצוואה. עליו לעשות כל מאמץ לקיים את הוראות הצוואה ולא להביא לביטולן; עליו לנקוט את כל האמצעים כדי להביא להגשמת רצונו ה'אמיתי' של המצווה". </w:t>
      </w:r>
    </w:p>
    <w:p w:rsidR="00021B73" w:rsidRDefault="00021B73" w:rsidP="00021B73">
      <w:pPr>
        <w:numPr>
          <w:ilvl w:val="0"/>
          <w:numId w:val="7"/>
        </w:numPr>
        <w:tabs>
          <w:tab w:val="left" w:pos="992"/>
        </w:tabs>
        <w:spacing w:before="100" w:beforeAutospacing="1" w:after="240" w:line="360" w:lineRule="auto"/>
        <w:ind w:left="0" w:firstLine="0"/>
        <w:jc w:val="both"/>
        <w:outlineLvl w:val="3"/>
        <w:rPr>
          <w:rFonts w:ascii="David" w:eastAsia="Calibri" w:hAnsi="David"/>
          <w:noProof w:val="0"/>
          <w:rtl/>
        </w:rPr>
      </w:pPr>
      <w:r>
        <w:rPr>
          <w:rFonts w:ascii="David" w:eastAsia="Calibri" w:hAnsi="David" w:hint="cs"/>
          <w:noProof w:val="0"/>
          <w:rtl/>
        </w:rPr>
        <w:t xml:space="preserve">משכך, </w:t>
      </w:r>
      <w:r>
        <w:rPr>
          <w:rFonts w:ascii="David" w:eastAsia="Calibri" w:hAnsi="David"/>
          <w:noProof w:val="0"/>
          <w:rtl/>
        </w:rPr>
        <w:t xml:space="preserve">בעת בחינת </w:t>
      </w:r>
      <w:r>
        <w:rPr>
          <w:rFonts w:ascii="David" w:eastAsia="Calibri" w:hAnsi="David"/>
          <w:b/>
          <w:bCs/>
          <w:noProof w:val="0"/>
          <w:rtl/>
        </w:rPr>
        <w:t>תוקפה של צוואה</w:t>
      </w:r>
      <w:r>
        <w:rPr>
          <w:rFonts w:ascii="David" w:eastAsia="Calibri" w:hAnsi="David"/>
          <w:noProof w:val="0"/>
          <w:rtl/>
        </w:rPr>
        <w:t xml:space="preserve">, על בית המשפט לפעול מתוך כבוד לרצון המצווה ולהימנע, ככל הניתן, מפגיעה בחופש הציווי. ואולם, ברצון לבד אין די, ויש צורך בעריכת צוואה באחת מהדרכים הקבועות בחוק (צוואה בכתב יד, צוואה בעדים, צוואה בפני רשות או צוואה בעל פה). הדרישות הצורניות הנדרשות לגבי כל סוג של צוואה אינן פרוצדורליות גרידא, אלא יש להן גם חשיבות ראייתית לשם בירור כוונת המצווה, בשים לב שצוואה היא פעולה משפטית חד צדדית (דנ"א 7818/00 </w:t>
      </w:r>
      <w:r>
        <w:rPr>
          <w:rFonts w:ascii="David" w:eastAsia="Calibri" w:hAnsi="David"/>
          <w:b/>
          <w:bCs/>
          <w:noProof w:val="0"/>
          <w:rtl/>
        </w:rPr>
        <w:t>יוסף אהרן</w:t>
      </w:r>
      <w:r>
        <w:rPr>
          <w:rFonts w:ascii="David" w:eastAsia="Calibri" w:hAnsi="David"/>
          <w:noProof w:val="0"/>
          <w:rtl/>
        </w:rPr>
        <w:t xml:space="preserve"> </w:t>
      </w:r>
      <w:r>
        <w:rPr>
          <w:rFonts w:ascii="David" w:eastAsia="Calibri" w:hAnsi="David"/>
          <w:b/>
          <w:bCs/>
          <w:noProof w:val="0"/>
          <w:rtl/>
        </w:rPr>
        <w:t>נ' אמנון אהרוני</w:t>
      </w:r>
      <w:r>
        <w:rPr>
          <w:rFonts w:ascii="David" w:eastAsia="Calibri" w:hAnsi="David"/>
          <w:noProof w:val="0"/>
          <w:rtl/>
        </w:rPr>
        <w:t xml:space="preserve">, פ"ד נט (6) 653 (2005)). </w:t>
      </w:r>
    </w:p>
    <w:p w:rsidR="00021B73" w:rsidRDefault="00021B73" w:rsidP="00021B73">
      <w:pPr>
        <w:numPr>
          <w:ilvl w:val="0"/>
          <w:numId w:val="7"/>
        </w:numPr>
        <w:spacing w:before="100" w:beforeAutospacing="1" w:after="120" w:line="360" w:lineRule="auto"/>
        <w:ind w:left="0" w:firstLine="0"/>
        <w:jc w:val="both"/>
        <w:outlineLvl w:val="3"/>
        <w:rPr>
          <w:rFonts w:ascii="David" w:eastAsia="Calibri" w:hAnsi="David"/>
          <w:noProof w:val="0"/>
        </w:rPr>
      </w:pPr>
      <w:r>
        <w:rPr>
          <w:rFonts w:ascii="David" w:eastAsia="Calibri" w:hAnsi="David"/>
          <w:b/>
          <w:bCs/>
          <w:noProof w:val="0"/>
          <w:rtl/>
        </w:rPr>
        <w:t>על החובה לקיים את דברי המת והחופש לצוות</w:t>
      </w:r>
      <w:r>
        <w:rPr>
          <w:rFonts w:ascii="David" w:eastAsia="Calibri" w:hAnsi="David"/>
          <w:noProof w:val="0"/>
          <w:rtl/>
        </w:rPr>
        <w:t xml:space="preserve">, ראו דברי כבוד השופט ש' שוחט בעמ"ש (ת"א) 5512-11-19 </w:t>
      </w:r>
      <w:r>
        <w:rPr>
          <w:rFonts w:ascii="David" w:eastAsia="Calibri" w:hAnsi="David"/>
          <w:b/>
          <w:bCs/>
          <w:noProof w:val="0"/>
          <w:rtl/>
        </w:rPr>
        <w:t>ט' נ' ג' א'</w:t>
      </w:r>
      <w:r>
        <w:rPr>
          <w:rFonts w:ascii="David" w:eastAsia="Calibri" w:hAnsi="David"/>
          <w:noProof w:val="0"/>
          <w:rtl/>
        </w:rPr>
        <w:t xml:space="preserve"> (19.8.2020):</w:t>
      </w:r>
    </w:p>
    <w:p w:rsidR="00021B73" w:rsidRDefault="00021B73" w:rsidP="00021B73">
      <w:pPr>
        <w:tabs>
          <w:tab w:val="left" w:pos="7512"/>
        </w:tabs>
        <w:spacing w:before="100" w:after="120"/>
        <w:ind w:left="1134" w:right="1134"/>
        <w:jc w:val="both"/>
        <w:outlineLvl w:val="3"/>
        <w:rPr>
          <w:rFonts w:ascii="David" w:eastAsia="Calibri" w:hAnsi="David"/>
          <w:b/>
          <w:bCs/>
          <w:noProof w:val="0"/>
        </w:rPr>
      </w:pPr>
      <w:r>
        <w:rPr>
          <w:rFonts w:ascii="David" w:eastAsia="Calibri" w:hAnsi="David"/>
          <w:b/>
          <w:bCs/>
          <w:noProof w:val="0"/>
          <w:rtl/>
        </w:rPr>
        <w:t>"החופש לצוות – יסוד מוסד בדיני צוואות. מהחופש לצוות נגזרת החובה לקיום הציווי – קו יסוד בדיני הזכייה על פי צוואה כמאמר הכתוב "קו היסוד של המחוקק בדיני צוואות אינו אלא לקיים את דברי המת" (ע"א 869/75 בריל נ' היועמ"ש פ"ד לב(1) 98, 102). קו יסוד זה - המצווה לקיים את דברי המת – חשיבותו הן בקביעת תוקפה של צוואה הן בפרשנותה. הוא מעוגן בחוק יסוד: כבוד האדם וחירותו כחלק מזכותו של אדם לכבוד בחייו ובמותו וכחלק מזכות הקניין שלו (ראו בהקשר זה ע"א 724/87 כלפה (גולד) נ' גולד פ"ד מח(1) 22, 28-29 (1993) (להלן- "עניין כלפה"), וכן שאול שוחט "פגמים בצוואות", מהדורה שלישית, 27-30, מהווה ביטוי לאוטונומיה של הרצון הפרטי (ע"א 1900/06 טלמצ'יו נ' האפוט' הכללי פ"ד נ"ג (2) 817) ומקורו במורשת התרבותית שלנו בהיותו עיקרון ידוע של המשפט העברי.</w:t>
      </w:r>
    </w:p>
    <w:p w:rsidR="00021B73" w:rsidRDefault="00021B73" w:rsidP="00021B73">
      <w:pPr>
        <w:tabs>
          <w:tab w:val="left" w:pos="7512"/>
        </w:tabs>
        <w:spacing w:before="100" w:after="240"/>
        <w:ind w:left="1134" w:right="1134"/>
        <w:jc w:val="both"/>
        <w:outlineLvl w:val="3"/>
        <w:rPr>
          <w:rFonts w:ascii="David" w:eastAsia="Calibri" w:hAnsi="David"/>
          <w:b/>
          <w:bCs/>
          <w:noProof w:val="0"/>
          <w:rtl/>
        </w:rPr>
      </w:pPr>
      <w:r>
        <w:rPr>
          <w:rFonts w:ascii="David" w:eastAsia="Calibri" w:hAnsi="David"/>
          <w:b/>
          <w:bCs/>
          <w:noProof w:val="0"/>
          <w:rtl/>
        </w:rPr>
        <w:lastRenderedPageBreak/>
        <w:t xml:space="preserve">מכאן הזהירות הרבה שנדרשת עת מתבקש בית המשפט להכריע בשאלת תוקפה של צוואה במסגרת </w:t>
      </w:r>
      <w:r>
        <w:rPr>
          <w:rFonts w:ascii="David" w:eastAsia="Calibri" w:hAnsi="David" w:hint="cs"/>
          <w:b/>
          <w:bCs/>
          <w:noProof w:val="0"/>
          <w:rtl/>
        </w:rPr>
        <w:t>תובענה</w:t>
      </w:r>
      <w:r>
        <w:rPr>
          <w:rFonts w:ascii="David" w:eastAsia="Calibri" w:hAnsi="David"/>
          <w:b/>
          <w:bCs/>
          <w:noProof w:val="0"/>
          <w:rtl/>
        </w:rPr>
        <w:t xml:space="preserve"> לקיומה ובשאלת מובנה של הצוואה במסגרת </w:t>
      </w:r>
      <w:r>
        <w:rPr>
          <w:rFonts w:ascii="David" w:eastAsia="Calibri" w:hAnsi="David" w:hint="cs"/>
          <w:b/>
          <w:bCs/>
          <w:noProof w:val="0"/>
          <w:rtl/>
        </w:rPr>
        <w:t>תובענה</w:t>
      </w:r>
      <w:r>
        <w:rPr>
          <w:rFonts w:ascii="David" w:eastAsia="Calibri" w:hAnsi="David"/>
          <w:b/>
          <w:bCs/>
          <w:noProof w:val="0"/>
          <w:rtl/>
        </w:rPr>
        <w:t xml:space="preserve"> לפרשנותה שכן, בשתי אלה נדרש בית המשפט להחליט ולקבוע "אם יקומו דברי המת ואם יהיו כלא היו". והוא – איננו, "מכל הווייתו, מכל עצמותו, נשתיירו רק גיליונות נייר..." ואנו, השופטים, זרים למנוח שלא עמדנו מקרוב על אורחות חייו ועל מאווי לבבו, אנחנו מצווים על דבריו (ש' ז' חשין המנוח "דמויות מבית המשפט" (תשי"ג), 144)".</w:t>
      </w:r>
    </w:p>
    <w:p w:rsidR="00021B73" w:rsidRDefault="00021B73" w:rsidP="00021B73">
      <w:pPr>
        <w:numPr>
          <w:ilvl w:val="0"/>
          <w:numId w:val="7"/>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הוראת </w:t>
      </w:r>
      <w:r>
        <w:rPr>
          <w:noProof w:val="0"/>
          <w:rtl/>
        </w:rPr>
        <w:t>סעיף 25 לחוק הירושה</w:t>
      </w:r>
      <w:r>
        <w:rPr>
          <w:rFonts w:ascii="Arial" w:eastAsia="Calibri" w:hAnsi="Arial"/>
          <w:b/>
          <w:noProof w:val="0"/>
          <w:rtl/>
        </w:rPr>
        <w:t xml:space="preserve">, התשכ"ה-1965 (להלן: </w:t>
      </w:r>
      <w:r>
        <w:rPr>
          <w:rFonts w:ascii="Arial" w:eastAsia="Calibri" w:hAnsi="Arial"/>
          <w:bCs/>
          <w:noProof w:val="0"/>
          <w:rtl/>
        </w:rPr>
        <w:t>"חוק הירושה"</w:t>
      </w:r>
      <w:r>
        <w:rPr>
          <w:rFonts w:ascii="Arial" w:eastAsia="Calibri" w:hAnsi="Arial"/>
          <w:b/>
          <w:noProof w:val="0"/>
          <w:rtl/>
        </w:rPr>
        <w:t>) מעניקה מעמד בכורה</w:t>
      </w:r>
      <w:r>
        <w:rPr>
          <w:rFonts w:ascii="David" w:eastAsia="Calibri" w:hAnsi="David"/>
          <w:noProof w:val="0"/>
          <w:rtl/>
        </w:rPr>
        <w:t xml:space="preserve"> לערך הטמון בהגשמת רצון המצווה וקובעת, כי מקום שבו מתקיימים כלל "</w:t>
      </w:r>
      <w:r>
        <w:rPr>
          <w:rFonts w:ascii="David" w:eastAsia="Calibri" w:hAnsi="David"/>
          <w:b/>
          <w:bCs/>
          <w:noProof w:val="0"/>
          <w:rtl/>
        </w:rPr>
        <w:t>מרכיבי</w:t>
      </w:r>
      <w:r>
        <w:rPr>
          <w:rFonts w:ascii="David" w:eastAsia="Calibri" w:hAnsi="David"/>
          <w:noProof w:val="0"/>
          <w:rtl/>
        </w:rPr>
        <w:t xml:space="preserve"> </w:t>
      </w:r>
      <w:r>
        <w:rPr>
          <w:rFonts w:ascii="David" w:eastAsia="Calibri" w:hAnsi="David"/>
          <w:b/>
          <w:bCs/>
          <w:noProof w:val="0"/>
          <w:rtl/>
        </w:rPr>
        <w:t>היסוד</w:t>
      </w:r>
      <w:r>
        <w:rPr>
          <w:rFonts w:ascii="David" w:eastAsia="Calibri" w:hAnsi="David"/>
          <w:noProof w:val="0"/>
          <w:rtl/>
        </w:rPr>
        <w:t xml:space="preserve">" בצוואה – ניתן יהיה להתגבר על פגמים צורניים אשר ייתכן שנפלו בעריכתה, כפוף לכך שבית המשפט שוכנע כי הצוואה אכן משקפת נכונה את רצון המצווה (ע"מ (י-ם) 729/05 </w:t>
      </w:r>
      <w:r>
        <w:rPr>
          <w:rFonts w:ascii="David" w:eastAsia="Calibri" w:hAnsi="David"/>
          <w:b/>
          <w:bCs/>
          <w:noProof w:val="0"/>
          <w:rtl/>
        </w:rPr>
        <w:t>סובול נ' לויטין</w:t>
      </w:r>
      <w:r>
        <w:rPr>
          <w:rFonts w:ascii="David" w:eastAsia="Calibri" w:hAnsi="David"/>
          <w:noProof w:val="0"/>
          <w:rtl/>
        </w:rPr>
        <w:t xml:space="preserve"> (8.8.2005)); ש' שילה</w:t>
      </w:r>
      <w:r>
        <w:rPr>
          <w:rFonts w:ascii="David" w:eastAsia="Calibri" w:hAnsi="David"/>
          <w:b/>
          <w:bCs/>
          <w:noProof w:val="0"/>
          <w:rtl/>
        </w:rPr>
        <w:t>, פירוש לחוק הירושה</w:t>
      </w:r>
      <w:r>
        <w:rPr>
          <w:rFonts w:ascii="David" w:eastAsia="Calibri" w:hAnsi="David"/>
          <w:noProof w:val="0"/>
          <w:rtl/>
        </w:rPr>
        <w:t>, תשכ"ה-1965 (תשנ"ב - כרך ראשון), 227 (להלן:</w:t>
      </w:r>
      <w:r>
        <w:rPr>
          <w:rFonts w:ascii="David" w:eastAsia="Calibri" w:hAnsi="David"/>
          <w:b/>
          <w:bCs/>
          <w:noProof w:val="0"/>
          <w:rtl/>
        </w:rPr>
        <w:t xml:space="preserve"> "שילה"</w:t>
      </w:r>
      <w:r>
        <w:rPr>
          <w:rFonts w:ascii="David" w:eastAsia="Calibri" w:hAnsi="David"/>
          <w:noProof w:val="0"/>
          <w:rtl/>
        </w:rPr>
        <w:t xml:space="preserve">); </w:t>
      </w:r>
      <w:r>
        <w:rPr>
          <w:noProof w:val="0"/>
          <w:rtl/>
        </w:rPr>
        <w:t>שוחט, פינברג, פלומין "</w:t>
      </w:r>
      <w:r>
        <w:rPr>
          <w:b/>
          <w:bCs/>
          <w:noProof w:val="0"/>
          <w:rtl/>
        </w:rPr>
        <w:t>דיני ירושה ועיזבון</w:t>
      </w:r>
      <w:r>
        <w:rPr>
          <w:noProof w:val="0"/>
          <w:rtl/>
        </w:rPr>
        <w:t>", מהדורה שביעית, התשע"ד-2014</w:t>
      </w:r>
      <w:r>
        <w:rPr>
          <w:rFonts w:ascii="David" w:eastAsia="Calibri" w:hAnsi="David"/>
          <w:noProof w:val="0"/>
          <w:rtl/>
        </w:rPr>
        <w:t xml:space="preserve">, 102 (להלן: </w:t>
      </w:r>
      <w:r>
        <w:rPr>
          <w:rFonts w:ascii="David" w:eastAsia="Calibri" w:hAnsi="David"/>
          <w:b/>
          <w:bCs/>
          <w:noProof w:val="0"/>
          <w:rtl/>
        </w:rPr>
        <w:t>"דיני ירושה ועיזבון"</w:t>
      </w:r>
      <w:r>
        <w:rPr>
          <w:rFonts w:ascii="David" w:eastAsia="Calibri" w:hAnsi="David"/>
          <w:noProof w:val="0"/>
          <w:rtl/>
        </w:rPr>
        <w:t xml:space="preserve">)). </w:t>
      </w:r>
    </w:p>
    <w:p w:rsidR="00021B73" w:rsidRDefault="00021B73" w:rsidP="00021B73">
      <w:pPr>
        <w:numPr>
          <w:ilvl w:val="0"/>
          <w:numId w:val="7"/>
        </w:numPr>
        <w:spacing w:before="100" w:beforeAutospacing="1" w:after="240" w:line="360" w:lineRule="auto"/>
        <w:ind w:left="0" w:firstLine="0"/>
        <w:jc w:val="both"/>
        <w:outlineLvl w:val="3"/>
        <w:rPr>
          <w:rFonts w:ascii="David" w:eastAsia="Calibri" w:hAnsi="David"/>
          <w:noProof w:val="0"/>
        </w:rPr>
      </w:pPr>
      <w:r>
        <w:rPr>
          <w:rFonts w:ascii="David" w:eastAsia="Calibri" w:hAnsi="David"/>
          <w:noProof w:val="0"/>
          <w:rtl/>
        </w:rPr>
        <w:t xml:space="preserve">כפועל יוצא מהאמור, ככלל, בית המשפט ימעט לשנות או לבטל את צוואתו של אדם; </w:t>
      </w:r>
      <w:r>
        <w:rPr>
          <w:rFonts w:ascii="David" w:eastAsia="Calibri" w:hAnsi="David"/>
          <w:b/>
          <w:bCs/>
          <w:noProof w:val="0"/>
          <w:rtl/>
        </w:rPr>
        <w:t>ואילו המתנגד לקיומה של אותה צוואה יאלץ להרים נטל כבד ביותר לצורך הוכחת טיעוניו</w:t>
      </w:r>
      <w:r>
        <w:rPr>
          <w:rFonts w:ascii="David" w:eastAsia="Calibri" w:hAnsi="David"/>
          <w:noProof w:val="0"/>
          <w:rtl/>
        </w:rPr>
        <w:t xml:space="preserve"> (ע"א 5185/93 </w:t>
      </w:r>
      <w:r>
        <w:rPr>
          <w:rFonts w:ascii="David" w:eastAsia="Calibri" w:hAnsi="David"/>
          <w:b/>
          <w:bCs/>
          <w:noProof w:val="0"/>
          <w:rtl/>
        </w:rPr>
        <w:t>היועץ המשפט לממשלה נ' רינה מרום</w:t>
      </w:r>
      <w:r>
        <w:rPr>
          <w:rFonts w:ascii="David" w:eastAsia="Calibri" w:hAnsi="David"/>
          <w:noProof w:val="0"/>
          <w:rtl/>
        </w:rPr>
        <w:t xml:space="preserve">, פ"ד מ"ט (1) 318 (1995); ע"א 724/87 </w:t>
      </w:r>
      <w:r>
        <w:rPr>
          <w:rFonts w:ascii="David" w:eastAsia="Calibri" w:hAnsi="David"/>
          <w:b/>
          <w:bCs/>
          <w:noProof w:val="0"/>
          <w:rtl/>
        </w:rPr>
        <w:t>ורדה כלפה (גולד) נ' תמר גולד</w:t>
      </w:r>
      <w:r>
        <w:rPr>
          <w:rFonts w:ascii="David" w:eastAsia="Calibri" w:hAnsi="David"/>
          <w:noProof w:val="0"/>
          <w:rtl/>
        </w:rPr>
        <w:t xml:space="preserve">, פ"ד מח (1) 22 (1993); בע"מ 11116/08 </w:t>
      </w:r>
      <w:r>
        <w:rPr>
          <w:rFonts w:ascii="David" w:eastAsia="Calibri" w:hAnsi="David"/>
          <w:b/>
          <w:bCs/>
          <w:noProof w:val="0"/>
          <w:rtl/>
        </w:rPr>
        <w:t>פלוני נ' אלמוני</w:t>
      </w:r>
      <w:r>
        <w:rPr>
          <w:rFonts w:ascii="David" w:eastAsia="Calibri" w:hAnsi="David"/>
          <w:noProof w:val="0"/>
          <w:rtl/>
        </w:rPr>
        <w:t xml:space="preserve"> (5.7.2012)).</w:t>
      </w:r>
    </w:p>
    <w:p w:rsidR="00021B73" w:rsidRPr="00F37BE5" w:rsidRDefault="00021B73" w:rsidP="00021B73">
      <w:pPr>
        <w:spacing w:after="120" w:line="360" w:lineRule="auto"/>
        <w:jc w:val="both"/>
        <w:outlineLvl w:val="3"/>
        <w:rPr>
          <w:rFonts w:ascii="David" w:eastAsia="Calibri" w:hAnsi="David"/>
          <w:b/>
          <w:bCs/>
          <w:noProof w:val="0"/>
          <w:sz w:val="28"/>
          <w:szCs w:val="28"/>
          <w:u w:val="single"/>
        </w:rPr>
      </w:pPr>
      <w:r>
        <w:rPr>
          <w:rFonts w:ascii="David" w:eastAsia="Calibri" w:hAnsi="David" w:hint="cs"/>
          <w:b/>
          <w:bCs/>
          <w:noProof w:val="0"/>
          <w:sz w:val="28"/>
          <w:szCs w:val="28"/>
          <w:u w:val="single"/>
          <w:rtl/>
        </w:rPr>
        <w:t xml:space="preserve">טענת המתנגדת לפגם </w:t>
      </w:r>
      <w:r w:rsidRPr="00F37BE5">
        <w:rPr>
          <w:rFonts w:ascii="David" w:eastAsia="Calibri" w:hAnsi="David" w:hint="cs"/>
          <w:b/>
          <w:bCs/>
          <w:noProof w:val="0"/>
          <w:sz w:val="28"/>
          <w:szCs w:val="28"/>
          <w:u w:val="single"/>
          <w:rtl/>
        </w:rPr>
        <w:t>צורני</w:t>
      </w:r>
      <w:r>
        <w:rPr>
          <w:rFonts w:ascii="David" w:eastAsia="Calibri" w:hAnsi="David" w:hint="cs"/>
          <w:b/>
          <w:bCs/>
          <w:noProof w:val="0"/>
          <w:sz w:val="28"/>
          <w:szCs w:val="28"/>
          <w:u w:val="single"/>
          <w:rtl/>
        </w:rPr>
        <w:t xml:space="preserve"> </w:t>
      </w:r>
      <w:r>
        <w:rPr>
          <w:rFonts w:ascii="David" w:eastAsia="Calibri" w:hAnsi="David"/>
          <w:b/>
          <w:bCs/>
          <w:noProof w:val="0"/>
          <w:sz w:val="28"/>
          <w:szCs w:val="28"/>
          <w:u w:val="single"/>
          <w:rtl/>
        </w:rPr>
        <w:t>–</w:t>
      </w:r>
      <w:r>
        <w:rPr>
          <w:rFonts w:ascii="David" w:eastAsia="Calibri" w:hAnsi="David" w:hint="cs"/>
          <w:b/>
          <w:bCs/>
          <w:noProof w:val="0"/>
          <w:sz w:val="28"/>
          <w:szCs w:val="28"/>
          <w:u w:val="single"/>
          <w:rtl/>
        </w:rPr>
        <w:t xml:space="preserve"> חסר באישור העדים</w:t>
      </w:r>
    </w:p>
    <w:p w:rsidR="00021B73" w:rsidRDefault="00021B73" w:rsidP="00021B73">
      <w:pPr>
        <w:numPr>
          <w:ilvl w:val="0"/>
          <w:numId w:val="7"/>
        </w:numPr>
        <w:spacing w:after="120" w:line="360" w:lineRule="auto"/>
        <w:ind w:left="0" w:firstLine="0"/>
        <w:jc w:val="both"/>
        <w:outlineLvl w:val="3"/>
        <w:rPr>
          <w:rFonts w:ascii="David" w:eastAsia="Calibri" w:hAnsi="David"/>
          <w:noProof w:val="0"/>
        </w:rPr>
      </w:pPr>
      <w:r>
        <w:rPr>
          <w:rFonts w:ascii="David" w:eastAsia="Calibri" w:hAnsi="David" w:hint="cs"/>
          <w:noProof w:val="0"/>
          <w:rtl/>
        </w:rPr>
        <w:t xml:space="preserve">סעיף 20 לחוק הירושה שכותרתו </w:t>
      </w:r>
      <w:r w:rsidRPr="00322216">
        <w:rPr>
          <w:rFonts w:ascii="David" w:eastAsia="Calibri" w:hAnsi="David" w:hint="cs"/>
          <w:b/>
          <w:bCs/>
          <w:noProof w:val="0"/>
          <w:rtl/>
        </w:rPr>
        <w:t>"צוואה בעדים"</w:t>
      </w:r>
      <w:r>
        <w:rPr>
          <w:rFonts w:ascii="David" w:eastAsia="Calibri" w:hAnsi="David" w:hint="cs"/>
          <w:noProof w:val="0"/>
          <w:rtl/>
        </w:rPr>
        <w:t xml:space="preserve"> קובע:</w:t>
      </w:r>
    </w:p>
    <w:p w:rsidR="00021B73" w:rsidRPr="00F37BE5" w:rsidRDefault="00021B73" w:rsidP="00021B73">
      <w:pPr>
        <w:spacing w:after="360"/>
        <w:ind w:left="1134" w:right="1134"/>
        <w:jc w:val="both"/>
        <w:outlineLvl w:val="3"/>
        <w:rPr>
          <w:rFonts w:ascii="David" w:eastAsia="Calibri" w:hAnsi="David"/>
          <w:noProof w:val="0"/>
        </w:rPr>
      </w:pPr>
      <w:r w:rsidRPr="00F37BE5">
        <w:rPr>
          <w:rFonts w:ascii="David" w:eastAsia="Calibri" w:hAnsi="David" w:hint="cs"/>
          <w:b/>
          <w:bCs/>
          <w:noProof w:val="0"/>
          <w:rtl/>
        </w:rPr>
        <w:t>"צוואה בעדים תהיה בכתב, תצויין בתאריך ותיחתם ביד המצווה בפני שני עדים לאחר שהצהיר בפניהם שזו צוואתו; העדים יאשרו באותו מעמד בחתימת ידם על פני הצוואה שהמצווה הצהיר וחתם כאמור"</w:t>
      </w:r>
      <w:r>
        <w:rPr>
          <w:rFonts w:ascii="David" w:eastAsia="Calibri" w:hAnsi="David" w:hint="cs"/>
          <w:noProof w:val="0"/>
          <w:rtl/>
        </w:rPr>
        <w:t>.</w:t>
      </w:r>
    </w:p>
    <w:p w:rsidR="00021B73" w:rsidRDefault="00021B73" w:rsidP="00021B73">
      <w:pPr>
        <w:numPr>
          <w:ilvl w:val="0"/>
          <w:numId w:val="7"/>
        </w:numPr>
        <w:spacing w:after="120" w:line="360" w:lineRule="auto"/>
        <w:ind w:left="0" w:firstLine="0"/>
        <w:jc w:val="both"/>
        <w:outlineLvl w:val="3"/>
        <w:rPr>
          <w:rFonts w:ascii="David" w:eastAsia="Calibri" w:hAnsi="David"/>
          <w:noProof w:val="0"/>
        </w:rPr>
      </w:pPr>
      <w:r>
        <w:rPr>
          <w:rFonts w:ascii="David" w:eastAsia="Calibri" w:hAnsi="David" w:hint="cs"/>
          <w:noProof w:val="0"/>
          <w:rtl/>
        </w:rPr>
        <w:t xml:space="preserve">סעיף 25 לחוק הירושה שכותרתו </w:t>
      </w:r>
      <w:r w:rsidRPr="00161E5B">
        <w:rPr>
          <w:rFonts w:ascii="David" w:eastAsia="Calibri" w:hAnsi="David" w:hint="cs"/>
          <w:b/>
          <w:bCs/>
          <w:noProof w:val="0"/>
          <w:rtl/>
        </w:rPr>
        <w:t>"קיום צוואה על אף פגם או חסר בצורתה"</w:t>
      </w:r>
      <w:r>
        <w:rPr>
          <w:rFonts w:ascii="David" w:eastAsia="Calibri" w:hAnsi="David" w:hint="cs"/>
          <w:noProof w:val="0"/>
          <w:rtl/>
        </w:rPr>
        <w:t xml:space="preserve"> קובע:</w:t>
      </w:r>
    </w:p>
    <w:p w:rsidR="00021B73" w:rsidRPr="00161E5B" w:rsidRDefault="00021B73" w:rsidP="00021B73">
      <w:pPr>
        <w:tabs>
          <w:tab w:val="left" w:pos="7371"/>
        </w:tabs>
        <w:spacing w:after="120"/>
        <w:ind w:left="1134" w:right="1134"/>
        <w:jc w:val="both"/>
        <w:outlineLvl w:val="3"/>
        <w:rPr>
          <w:rFonts w:ascii="David" w:eastAsia="Calibri" w:hAnsi="David"/>
          <w:noProof w:val="0"/>
          <w:rtl/>
        </w:rPr>
      </w:pPr>
      <w:r w:rsidRPr="00161E5B">
        <w:rPr>
          <w:rFonts w:ascii="David" w:eastAsia="Calibri" w:hAnsi="David" w:hint="cs"/>
          <w:b/>
          <w:bCs/>
          <w:noProof w:val="0"/>
          <w:rtl/>
        </w:rPr>
        <w:t xml:space="preserve">"(א) התקיימו מרכיבי היסוד בצוואה, ולא היה לרשם לענייני ירושה או לבית המשפט, לפי העניין, ספק כי היא משקפת את רצונו החופשי והאמיתי של המצווה, רשאי הוא, בהחלטה מנומקת, לקיימה אם אף נפל פגם בפרט מן הפרטים או בהליך מן ההליכים המפורטים בסעיפים, 19, 20, 22 או 23 או בכשרות העדים או בהעדר פרט מן הפרטים או הליך מן ההליכים כאמור. </w:t>
      </w:r>
    </w:p>
    <w:p w:rsidR="00021B73" w:rsidRPr="00161E5B" w:rsidRDefault="00021B73" w:rsidP="00021B73">
      <w:pPr>
        <w:tabs>
          <w:tab w:val="left" w:pos="7371"/>
        </w:tabs>
        <w:ind w:left="1134" w:right="1134"/>
        <w:jc w:val="both"/>
        <w:outlineLvl w:val="3"/>
        <w:rPr>
          <w:rFonts w:ascii="David" w:eastAsia="Calibri" w:hAnsi="David"/>
          <w:b/>
          <w:bCs/>
          <w:noProof w:val="0"/>
          <w:rtl/>
        </w:rPr>
      </w:pPr>
      <w:r w:rsidRPr="00161E5B">
        <w:rPr>
          <w:rFonts w:ascii="David" w:eastAsia="Calibri" w:hAnsi="David" w:hint="cs"/>
          <w:b/>
          <w:bCs/>
          <w:noProof w:val="0"/>
          <w:rtl/>
        </w:rPr>
        <w:t>(ב) בסעיף זה "מרכיבי היסוד בצוואה" הם:</w:t>
      </w:r>
    </w:p>
    <w:p w:rsidR="00021B73" w:rsidRDefault="00021B73" w:rsidP="00021B73">
      <w:pPr>
        <w:tabs>
          <w:tab w:val="left" w:pos="7371"/>
        </w:tabs>
        <w:ind w:left="1134" w:right="1134"/>
        <w:jc w:val="both"/>
        <w:outlineLvl w:val="3"/>
        <w:rPr>
          <w:rFonts w:ascii="David" w:eastAsia="Calibri" w:hAnsi="David"/>
          <w:b/>
          <w:bCs/>
          <w:noProof w:val="0"/>
          <w:rtl/>
        </w:rPr>
      </w:pPr>
      <w:r w:rsidRPr="00161E5B">
        <w:rPr>
          <w:rFonts w:ascii="David" w:eastAsia="Calibri" w:hAnsi="David" w:hint="cs"/>
          <w:b/>
          <w:bCs/>
          <w:noProof w:val="0"/>
          <w:rtl/>
        </w:rPr>
        <w:t>...</w:t>
      </w:r>
    </w:p>
    <w:p w:rsidR="00021B73" w:rsidRPr="00161E5B" w:rsidRDefault="00021B73" w:rsidP="00021B73">
      <w:pPr>
        <w:tabs>
          <w:tab w:val="left" w:pos="7371"/>
        </w:tabs>
        <w:ind w:left="1134" w:right="1134"/>
        <w:jc w:val="both"/>
        <w:outlineLvl w:val="3"/>
        <w:rPr>
          <w:rFonts w:ascii="David" w:eastAsia="Calibri" w:hAnsi="David"/>
          <w:b/>
          <w:bCs/>
          <w:noProof w:val="0"/>
        </w:rPr>
      </w:pPr>
      <w:r w:rsidRPr="00161E5B">
        <w:rPr>
          <w:rFonts w:ascii="David" w:eastAsia="Calibri" w:hAnsi="David" w:hint="cs"/>
          <w:b/>
          <w:bCs/>
          <w:noProof w:val="0"/>
          <w:rtl/>
        </w:rPr>
        <w:t xml:space="preserve">(2) בצוואה בעדים כאמור בסעיף 20 </w:t>
      </w:r>
      <w:r w:rsidRPr="00161E5B">
        <w:rPr>
          <w:rFonts w:ascii="David" w:eastAsia="Calibri" w:hAnsi="David"/>
          <w:b/>
          <w:bCs/>
          <w:noProof w:val="0"/>
          <w:rtl/>
        </w:rPr>
        <w:t>–</w:t>
      </w:r>
      <w:r w:rsidRPr="00161E5B">
        <w:rPr>
          <w:rFonts w:ascii="David" w:eastAsia="Calibri" w:hAnsi="David" w:hint="cs"/>
          <w:b/>
          <w:bCs/>
          <w:noProof w:val="0"/>
          <w:rtl/>
        </w:rPr>
        <w:t xml:space="preserve"> הצוואה בכתב והמצווה הביאה בפני שני עדים".</w:t>
      </w:r>
    </w:p>
    <w:p w:rsidR="00021B73" w:rsidRPr="007C3A05" w:rsidRDefault="00021B73" w:rsidP="00021B73">
      <w:pPr>
        <w:numPr>
          <w:ilvl w:val="0"/>
          <w:numId w:val="7"/>
        </w:numPr>
        <w:spacing w:before="100" w:beforeAutospacing="1" w:after="240" w:line="360" w:lineRule="auto"/>
        <w:ind w:left="0" w:firstLine="0"/>
        <w:jc w:val="both"/>
        <w:outlineLvl w:val="3"/>
        <w:rPr>
          <w:rFonts w:ascii="David" w:eastAsia="Calibri" w:hAnsi="David"/>
          <w:b/>
          <w:bCs/>
          <w:noProof w:val="0"/>
        </w:rPr>
      </w:pPr>
      <w:r>
        <w:rPr>
          <w:rFonts w:ascii="David" w:eastAsia="Calibri" w:hAnsi="David" w:hint="cs"/>
          <w:noProof w:val="0"/>
          <w:rtl/>
        </w:rPr>
        <w:lastRenderedPageBreak/>
        <w:t xml:space="preserve">בענייננו המדובר </w:t>
      </w:r>
      <w:r w:rsidRPr="00BE3BFC">
        <w:rPr>
          <w:rFonts w:ascii="David" w:eastAsia="Calibri" w:hAnsi="David" w:hint="cs"/>
          <w:b/>
          <w:bCs/>
          <w:noProof w:val="0"/>
          <w:rtl/>
        </w:rPr>
        <w:t>בצוואה בעדים</w:t>
      </w:r>
      <w:r>
        <w:rPr>
          <w:rFonts w:ascii="David" w:eastAsia="Calibri" w:hAnsi="David" w:hint="cs"/>
          <w:noProof w:val="0"/>
          <w:rtl/>
        </w:rPr>
        <w:t xml:space="preserve">. </w:t>
      </w:r>
      <w:r w:rsidRPr="007C3A05">
        <w:rPr>
          <w:rFonts w:ascii="David" w:eastAsia="Calibri" w:hAnsi="David" w:hint="cs"/>
          <w:noProof w:val="0"/>
          <w:rtl/>
        </w:rPr>
        <w:t xml:space="preserve">העדים אומנם אישרו בחתימתם, כי המנוחה חתמה בפניהם על הצוואה מרצונה, בלא כפייה בהיותה בדעה צלולה ובהכרה מלאה, וכי הם חתמו על הצוואה כעדים לאחר שנוכחו שהמנוחה הבינה היטב את תוכנה. עם זאת, הצוואה נעדרת את אישור העדים, כי המצווה הצהירה בפניהם שזו צוואתה. לשם הנוחות להלן </w:t>
      </w:r>
      <w:r>
        <w:rPr>
          <w:rFonts w:ascii="David" w:eastAsia="Calibri" w:hAnsi="David" w:hint="cs"/>
          <w:noProof w:val="0"/>
          <w:rtl/>
        </w:rPr>
        <w:t xml:space="preserve">העתק </w:t>
      </w:r>
      <w:r w:rsidRPr="007C3A05">
        <w:rPr>
          <w:rFonts w:ascii="David" w:eastAsia="Calibri" w:hAnsi="David" w:hint="cs"/>
          <w:noProof w:val="0"/>
          <w:rtl/>
        </w:rPr>
        <w:t>אישור העדים כפי שמופיע על גבי הצוואה:</w:t>
      </w:r>
    </w:p>
    <w:p w:rsidR="00021B73" w:rsidRDefault="00D97E68" w:rsidP="00021B73">
      <w:pPr>
        <w:spacing w:before="100" w:beforeAutospacing="1" w:after="120" w:line="360" w:lineRule="auto"/>
        <w:ind w:firstLine="708"/>
        <w:jc w:val="both"/>
        <w:outlineLvl w:val="3"/>
        <w:rPr>
          <w:rFonts w:ascii="David" w:eastAsia="Calibri" w:hAnsi="David"/>
          <w:b/>
          <w:bCs/>
          <w:noProof w:val="0"/>
        </w:rPr>
      </w:pPr>
      <w:r w:rsidRPr="00C045A4">
        <w:rPr>
          <w:rFonts w:ascii="Arial" w:eastAsia="Calibri" w:hAnsi="Arial"/>
          <w:rtl/>
        </w:rPr>
        <w:drawing>
          <wp:inline distT="0" distB="0" distL="0" distR="0" wp14:anchorId="3DE60D79" wp14:editId="3D9FB34C">
            <wp:extent cx="4812523" cy="2518913"/>
            <wp:effectExtent l="0" t="0" r="7620" b="0"/>
            <wp:docPr id="199" name="תמונה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26345" r="596"/>
                    <a:stretch/>
                  </pic:blipFill>
                  <pic:spPr bwMode="auto">
                    <a:xfrm>
                      <a:off x="0" y="0"/>
                      <a:ext cx="4830702" cy="2528428"/>
                    </a:xfrm>
                    <a:prstGeom prst="rect">
                      <a:avLst/>
                    </a:prstGeom>
                    <a:ln>
                      <a:noFill/>
                    </a:ln>
                    <a:extLst>
                      <a:ext uri="{53640926-AAD7-44D8-BBD7-CCE9431645EC}">
                        <a14:shadowObscured xmlns:a14="http://schemas.microsoft.com/office/drawing/2010/main"/>
                      </a:ext>
                    </a:extLst>
                  </pic:spPr>
                </pic:pic>
              </a:graphicData>
            </a:graphic>
          </wp:inline>
        </w:drawing>
      </w:r>
    </w:p>
    <w:p w:rsidR="00021B73" w:rsidRDefault="00021B73" w:rsidP="00021B73">
      <w:pPr>
        <w:numPr>
          <w:ilvl w:val="0"/>
          <w:numId w:val="7"/>
        </w:numPr>
        <w:spacing w:after="240" w:line="360" w:lineRule="auto"/>
        <w:ind w:left="0" w:firstLine="0"/>
        <w:jc w:val="both"/>
        <w:outlineLvl w:val="3"/>
        <w:rPr>
          <w:rFonts w:ascii="David" w:eastAsia="Calibri" w:hAnsi="David"/>
          <w:b/>
          <w:bCs/>
          <w:noProof w:val="0"/>
        </w:rPr>
      </w:pPr>
      <w:r>
        <w:rPr>
          <w:rFonts w:ascii="David" w:eastAsia="Calibri" w:hAnsi="David" w:hint="cs"/>
          <w:noProof w:val="0"/>
          <w:rtl/>
        </w:rPr>
        <w:t xml:space="preserve">הנה כי כן, </w:t>
      </w:r>
      <w:r w:rsidRPr="00FB0CDA">
        <w:rPr>
          <w:rFonts w:ascii="David" w:eastAsia="Calibri" w:hAnsi="David" w:hint="cs"/>
          <w:noProof w:val="0"/>
          <w:rtl/>
        </w:rPr>
        <w:t>בצוואה התקיימו רכיבי היסוד כפי שנקבעו בסעיף 2</w:t>
      </w:r>
      <w:r>
        <w:rPr>
          <w:rFonts w:ascii="David" w:eastAsia="Calibri" w:hAnsi="David" w:hint="cs"/>
          <w:noProof w:val="0"/>
          <w:rtl/>
        </w:rPr>
        <w:t xml:space="preserve">5 לחוק הירושה, אלא שלטענת המתנגדת נוסח אישור העדים אינו עונה על הדרישה הקבועה בסעיף 20 לחוק הירושה. משכך, לטענתה, הצהרת העדים מהווה פגם, אשר מעביר את נטל השכנוע למבקשת להוכיח, כי הצוואה משקפת את רצונה החופשי והאמיתי של המנוחה. </w:t>
      </w:r>
    </w:p>
    <w:p w:rsidR="00021B73" w:rsidRDefault="00021B73" w:rsidP="00021B73">
      <w:pPr>
        <w:numPr>
          <w:ilvl w:val="0"/>
          <w:numId w:val="7"/>
        </w:numPr>
        <w:spacing w:after="120" w:line="360" w:lineRule="auto"/>
        <w:ind w:left="0" w:firstLine="0"/>
        <w:jc w:val="both"/>
        <w:outlineLvl w:val="3"/>
        <w:rPr>
          <w:rFonts w:ascii="David" w:eastAsia="Calibri" w:hAnsi="David"/>
          <w:b/>
          <w:bCs/>
          <w:noProof w:val="0"/>
        </w:rPr>
      </w:pPr>
      <w:r>
        <w:rPr>
          <w:rFonts w:ascii="David" w:eastAsia="Calibri" w:hAnsi="David" w:hint="cs"/>
          <w:noProof w:val="0"/>
          <w:rtl/>
        </w:rPr>
        <w:t xml:space="preserve">אומנם, הוראת סעיף 25 לחוק הירושה מטילה על המבקשת נטל ברף גבוה, וזאת ללא הבחנה ביחס לחומרת הפגם שנפל בצוואה. עם זאת, בפסיקה נקבע שמידת נטל השכנוע שיש להטיל על המבקשת תלויה בטיב הפגם שנפל בצוואה ובחומרתו. ראו למשל דברי כבוד השופט ש' שוחט בעמ"ש (ת"א) 38138-09-11 </w:t>
      </w:r>
      <w:r w:rsidRPr="002F315B">
        <w:rPr>
          <w:rFonts w:ascii="David" w:eastAsia="Calibri" w:hAnsi="David" w:hint="cs"/>
          <w:b/>
          <w:bCs/>
          <w:noProof w:val="0"/>
          <w:rtl/>
        </w:rPr>
        <w:t>א' נ' ש' נ' א' מ' ק'</w:t>
      </w:r>
      <w:r>
        <w:rPr>
          <w:rFonts w:ascii="David" w:eastAsia="Calibri" w:hAnsi="David" w:hint="cs"/>
          <w:noProof w:val="0"/>
          <w:rtl/>
        </w:rPr>
        <w:t xml:space="preserve"> (14.4.2013) (להלן: </w:t>
      </w:r>
      <w:r w:rsidRPr="00BE4F09">
        <w:rPr>
          <w:rFonts w:ascii="David" w:eastAsia="Calibri" w:hAnsi="David" w:hint="cs"/>
          <w:b/>
          <w:bCs/>
          <w:noProof w:val="0"/>
          <w:rtl/>
        </w:rPr>
        <w:t>"עמ"ש 38138-09-11"</w:t>
      </w:r>
      <w:r>
        <w:rPr>
          <w:rFonts w:ascii="David" w:eastAsia="Calibri" w:hAnsi="David" w:hint="cs"/>
          <w:noProof w:val="0"/>
          <w:rtl/>
        </w:rPr>
        <w:t>):</w:t>
      </w:r>
    </w:p>
    <w:p w:rsidR="00021B73" w:rsidRDefault="00021B73" w:rsidP="00021B73">
      <w:pPr>
        <w:pStyle w:val="a9"/>
        <w:spacing w:after="240"/>
        <w:ind w:left="1134" w:right="1134"/>
        <w:contextualSpacing w:val="0"/>
        <w:jc w:val="both"/>
        <w:rPr>
          <w:rFonts w:ascii="David" w:hAnsi="David"/>
          <w:b/>
          <w:bCs/>
          <w:noProof w:val="0"/>
          <w:spacing w:val="10"/>
          <w:rtl/>
        </w:rPr>
      </w:pPr>
      <w:r w:rsidRPr="00422113">
        <w:rPr>
          <w:rFonts w:ascii="David" w:hAnsi="David"/>
          <w:b/>
          <w:bCs/>
          <w:noProof w:val="0"/>
          <w:spacing w:val="10"/>
          <w:rtl/>
        </w:rPr>
        <w:t>"עם זה, אם דעתי תישמע, ראוי שבתי המשפט יאמצו מגמה זו עת מפעילים הם את שיקול הדעת שנמסר להם</w:t>
      </w:r>
      <w:r>
        <w:rPr>
          <w:rFonts w:ascii="David" w:hAnsi="David" w:hint="cs"/>
          <w:b/>
          <w:bCs/>
          <w:noProof w:val="0"/>
          <w:spacing w:val="10"/>
          <w:rtl/>
        </w:rPr>
        <w:t xml:space="preserve"> בסעיף 25(א) לחוק הירושה</w:t>
      </w:r>
      <w:r w:rsidRPr="00422113">
        <w:rPr>
          <w:rFonts w:ascii="David" w:hAnsi="David"/>
          <w:b/>
          <w:bCs/>
          <w:noProof w:val="0"/>
          <w:spacing w:val="10"/>
          <w:rtl/>
        </w:rPr>
        <w:t xml:space="preserve"> לקיים צוואה חרף פגם או חסר צורני שנפל בה. הדרישות הצורניות אותן העמיד המחוקק אינן מטרה בפני עצמה, אלא אמצעי שנועד לתת ביטוי לגמירת דעתו של המצווה. פרשנות לפיה יש להבדיל בין פגם לפגם מבחינת חומרת פגימתו הרעה תוך בחינת חומרתה בהתייחס לסוג הצוואה בה נפל אותו פגם – בכל הנוגע למידת השכנוע הנדרשת </w:t>
      </w:r>
      <w:r>
        <w:rPr>
          <w:rFonts w:ascii="David" w:hAnsi="David" w:hint="cs"/>
          <w:b/>
          <w:bCs/>
          <w:noProof w:val="0"/>
          <w:spacing w:val="10"/>
          <w:rtl/>
        </w:rPr>
        <w:t xml:space="preserve">בסעיף 25 לחוק הירושה </w:t>
      </w:r>
      <w:r w:rsidRPr="00422113">
        <w:rPr>
          <w:rFonts w:ascii="David" w:hAnsi="David"/>
          <w:b/>
          <w:bCs/>
          <w:noProof w:val="0"/>
          <w:spacing w:val="10"/>
          <w:rtl/>
        </w:rPr>
        <w:t xml:space="preserve">והפעלת שיקול הדעת של בית המשפט בהפעלתו - הינה פרשנות ראויה ומתונה יותר, המתאימה עצמה לנסיבות המיוחדות של המקרה הנדון. </w:t>
      </w:r>
      <w:r w:rsidRPr="00422113">
        <w:rPr>
          <w:rFonts w:ascii="David" w:hAnsi="David"/>
          <w:b/>
          <w:bCs/>
          <w:noProof w:val="0"/>
          <w:spacing w:val="10"/>
          <w:rtl/>
        </w:rPr>
        <w:lastRenderedPageBreak/>
        <w:t xml:space="preserve">פרשנות זו תשמר בצורה נאותה יותר את האיזון העדין בין כבוד המת וכבודם של החיים - אלה הטוענים לפסילת הצוואה - תוך מתן כבוד לרצונו של המת שעל קיומו אנו מצווים (ר' דבריי בהקשר זה, עוד בספרי "פגמים בצוואות" עמ' 72-77)". </w:t>
      </w:r>
    </w:p>
    <w:p w:rsidR="00021B73" w:rsidRDefault="00021B73" w:rsidP="00021B73">
      <w:pPr>
        <w:tabs>
          <w:tab w:val="left" w:pos="8079"/>
        </w:tabs>
        <w:spacing w:after="240" w:line="360" w:lineRule="auto"/>
        <w:ind w:firstLine="708"/>
        <w:jc w:val="both"/>
        <w:rPr>
          <w:rFonts w:ascii="David" w:hAnsi="David"/>
          <w:noProof w:val="0"/>
          <w:spacing w:val="10"/>
          <w:rtl/>
        </w:rPr>
      </w:pPr>
      <w:r w:rsidRPr="001471EB">
        <w:rPr>
          <w:rFonts w:ascii="David" w:hAnsi="David" w:hint="cs"/>
          <w:noProof w:val="0"/>
          <w:spacing w:val="10"/>
          <w:rtl/>
        </w:rPr>
        <w:t xml:space="preserve">המגמה </w:t>
      </w:r>
      <w:r>
        <w:rPr>
          <w:rFonts w:ascii="David" w:hAnsi="David" w:hint="cs"/>
          <w:noProof w:val="0"/>
          <w:spacing w:val="10"/>
          <w:rtl/>
        </w:rPr>
        <w:t xml:space="preserve">לריכוך נטל השכנוע לפי חומרת הפגם, לא מצאה מקומה בסעיפי חוק הירושה, שהרי על פי סעיף 25 לחוק הירושה על בית המשפט להיוותר ללא ספק בטרם יקיים צוואה אשר נפל בה פגם. עם זאת, מגמה זו באה לידי ביטוי בפסיקה ענפה של בית המשפט העליון </w:t>
      </w:r>
      <w:r>
        <w:rPr>
          <w:rFonts w:ascii="David" w:hAnsi="David"/>
          <w:noProof w:val="0"/>
          <w:spacing w:val="10"/>
          <w:rtl/>
        </w:rPr>
        <w:t>ואף בספרות המשפטית</w:t>
      </w:r>
      <w:r>
        <w:rPr>
          <w:rFonts w:ascii="David" w:hAnsi="David" w:hint="cs"/>
          <w:noProof w:val="0"/>
          <w:spacing w:val="10"/>
          <w:rtl/>
        </w:rPr>
        <w:t>. כך נקבע למשל ב-</w:t>
      </w:r>
      <w:r w:rsidRPr="004B6FA2">
        <w:rPr>
          <w:rFonts w:ascii="David" w:hAnsi="David"/>
          <w:noProof w:val="0"/>
          <w:spacing w:val="10"/>
          <w:rtl/>
        </w:rPr>
        <w:t xml:space="preserve">בע"מ 1511/05 </w:t>
      </w:r>
      <w:r w:rsidRPr="004B6FA2">
        <w:rPr>
          <w:rFonts w:ascii="David" w:hAnsi="David"/>
          <w:b/>
          <w:bCs/>
          <w:noProof w:val="0"/>
          <w:spacing w:val="10"/>
          <w:rtl/>
        </w:rPr>
        <w:t>פלוני נ' פלונית</w:t>
      </w:r>
      <w:r w:rsidRPr="004B6FA2">
        <w:rPr>
          <w:rFonts w:ascii="David" w:hAnsi="David"/>
          <w:noProof w:val="0"/>
          <w:spacing w:val="10"/>
          <w:rtl/>
        </w:rPr>
        <w:t xml:space="preserve"> (20.7.2005)</w:t>
      </w:r>
      <w:r>
        <w:rPr>
          <w:rFonts w:ascii="David" w:hAnsi="David" w:hint="cs"/>
          <w:noProof w:val="0"/>
          <w:spacing w:val="10"/>
          <w:rtl/>
        </w:rPr>
        <w:t xml:space="preserve"> (להלן: </w:t>
      </w:r>
      <w:r w:rsidRPr="008E5403">
        <w:rPr>
          <w:rFonts w:ascii="David" w:hAnsi="David" w:hint="cs"/>
          <w:b/>
          <w:bCs/>
          <w:noProof w:val="0"/>
          <w:spacing w:val="10"/>
          <w:rtl/>
        </w:rPr>
        <w:t>"בע"מ 1511/05"</w:t>
      </w:r>
      <w:r>
        <w:rPr>
          <w:rFonts w:ascii="David" w:hAnsi="David" w:hint="cs"/>
          <w:noProof w:val="0"/>
          <w:spacing w:val="10"/>
          <w:rtl/>
        </w:rPr>
        <w:t>):</w:t>
      </w:r>
      <w:r w:rsidRPr="004B6FA2">
        <w:rPr>
          <w:rFonts w:ascii="David" w:hAnsi="David"/>
          <w:noProof w:val="0"/>
          <w:spacing w:val="10"/>
          <w:rtl/>
        </w:rPr>
        <w:t xml:space="preserve"> </w:t>
      </w:r>
    </w:p>
    <w:p w:rsidR="00021B73" w:rsidRPr="00BD7D64" w:rsidRDefault="00021B73" w:rsidP="00021B73">
      <w:pPr>
        <w:tabs>
          <w:tab w:val="left" w:pos="7654"/>
          <w:tab w:val="left" w:pos="8079"/>
        </w:tabs>
        <w:spacing w:after="240"/>
        <w:ind w:left="1134" w:right="1134"/>
        <w:jc w:val="both"/>
        <w:rPr>
          <w:rFonts w:ascii="David" w:hAnsi="David"/>
          <w:b/>
          <w:bCs/>
          <w:noProof w:val="0"/>
          <w:spacing w:val="10"/>
          <w:rtl/>
        </w:rPr>
      </w:pPr>
      <w:r w:rsidRPr="00BD7D64">
        <w:rPr>
          <w:rFonts w:hint="cs"/>
          <w:b/>
          <w:bCs/>
          <w:rtl/>
        </w:rPr>
        <w:t>"</w:t>
      </w:r>
      <w:r w:rsidRPr="00BD7D64">
        <w:rPr>
          <w:b/>
          <w:bCs/>
          <w:rtl/>
        </w:rPr>
        <w:t>בנידון דידן, בית המשפט לענייני משפחה בדק את הנושא על פי תכליתו של</w:t>
      </w:r>
      <w:r>
        <w:rPr>
          <w:rFonts w:hint="cs"/>
          <w:b/>
          <w:bCs/>
          <w:rtl/>
        </w:rPr>
        <w:t xml:space="preserve"> סעיף 20</w:t>
      </w:r>
      <w:r w:rsidRPr="00BD7D64">
        <w:rPr>
          <w:b/>
          <w:bCs/>
          <w:rtl/>
        </w:rPr>
        <w:t>, וקבע: "אינני רואה כל הבדל בין נוסח אישור צוואה שבו היה נכתב – חתמה בפנינו על צוואה לאחר שהצהירה שזאת צוואתה, לבין אישור החתימה שקודם לה נאמר שהצהירה בפנינו שזאת צוואתה". בדרך זו, אך גם בדרכו המחמירה יותר של בית המשפט המחוזי, שראה כאן פגם פורמלי אך לא חשש מהותי לצורך נטל הראיה, קשה להלום כי בצוואה שבפנינו, שבה נאמר מפורשות כי החותמת מצהירה כי זו צוואתה, ובהמשך אותו עמוד עצמו מצהירים עורך הדין עורך הצוואה ועדה נוספת באשר לחתימה, נפל פגם ברמה ובמשקל המעבירים את הנטל. יש לראות דברים במהותם. אכן, עדיף היה אילו גם באישור העדים ניתן ביטוי מלא לדרישות</w:t>
      </w:r>
      <w:r>
        <w:rPr>
          <w:rFonts w:hint="cs"/>
          <w:b/>
          <w:bCs/>
          <w:rtl/>
        </w:rPr>
        <w:t xml:space="preserve"> סעיף 20</w:t>
      </w:r>
      <w:r w:rsidRPr="00BD7D64">
        <w:rPr>
          <w:b/>
          <w:bCs/>
          <w:rtl/>
        </w:rPr>
        <w:t>, אך יהא זה מנוגד לשכל הישר ומלאכותי לסבור כי במקרה דנן אכן עבר הנטל. לפחות לעניין נטל השכנוע, יש בעיני כשלעצמי, ואיני קובע מסמרות בהחלטה זו, חשיבות לעוצמת הפגם שנפל. אכן, ישנם בהחלט פגמים, שהיו מהווים עילה להעברת הנטל, אם לא לפסלות, ודוגמאות לכך קיימות בפסיקה. הפגם הנטען במקרה דנא על פניו, עוצמתו איננה כזאת המצדיקה את הדבר; השאלה לגופה תתברר כמובן בראיות</w:t>
      </w:r>
      <w:r w:rsidRPr="00BD7D64">
        <w:rPr>
          <w:rFonts w:hint="cs"/>
          <w:b/>
          <w:bCs/>
          <w:rtl/>
        </w:rPr>
        <w:t>"</w:t>
      </w:r>
      <w:r w:rsidRPr="00BD7D64">
        <w:rPr>
          <w:b/>
          <w:bCs/>
          <w:rtl/>
        </w:rPr>
        <w:t>.</w:t>
      </w:r>
    </w:p>
    <w:p w:rsidR="00021B73" w:rsidRPr="00B123CC" w:rsidRDefault="00021B73" w:rsidP="00021B73">
      <w:pPr>
        <w:tabs>
          <w:tab w:val="left" w:pos="8079"/>
        </w:tabs>
        <w:spacing w:after="240" w:line="360" w:lineRule="auto"/>
        <w:ind w:firstLine="709"/>
        <w:jc w:val="both"/>
        <w:rPr>
          <w:rFonts w:cs="FrankRuehl"/>
          <w:noProof w:val="0"/>
          <w:spacing w:val="10"/>
          <w:sz w:val="28"/>
          <w:szCs w:val="28"/>
        </w:rPr>
      </w:pPr>
      <w:r w:rsidRPr="004B6FA2">
        <w:rPr>
          <w:rFonts w:ascii="David" w:hAnsi="David"/>
          <w:noProof w:val="0"/>
          <w:spacing w:val="10"/>
          <w:rtl/>
        </w:rPr>
        <w:t xml:space="preserve">(ראו </w:t>
      </w:r>
      <w:r>
        <w:rPr>
          <w:rFonts w:ascii="David" w:hAnsi="David" w:hint="cs"/>
          <w:noProof w:val="0"/>
          <w:spacing w:val="10"/>
          <w:rtl/>
        </w:rPr>
        <w:t xml:space="preserve">גם </w:t>
      </w:r>
      <w:r w:rsidRPr="004B6FA2">
        <w:rPr>
          <w:rFonts w:ascii="David" w:hAnsi="David"/>
          <w:noProof w:val="0"/>
          <w:spacing w:val="10"/>
          <w:rtl/>
        </w:rPr>
        <w:t xml:space="preserve">ע"א 4902/91 </w:t>
      </w:r>
      <w:r>
        <w:rPr>
          <w:rFonts w:ascii="David" w:eastAsia="Calibri" w:hAnsi="David"/>
          <w:b/>
          <w:bCs/>
          <w:noProof w:val="0"/>
          <w:color w:val="000000" w:themeColor="text1"/>
          <w:rtl/>
        </w:rPr>
        <w:t>שדמה גודמן נ' ישיבת שם בית מדרש</w:t>
      </w:r>
      <w:r>
        <w:rPr>
          <w:rFonts w:ascii="David" w:eastAsia="Calibri" w:hAnsi="David"/>
          <w:noProof w:val="0"/>
          <w:color w:val="000000" w:themeColor="text1"/>
          <w:rtl/>
        </w:rPr>
        <w:t xml:space="preserve"> </w:t>
      </w:r>
      <w:r>
        <w:rPr>
          <w:rFonts w:ascii="David" w:eastAsia="Calibri" w:hAnsi="David"/>
          <w:b/>
          <w:bCs/>
          <w:noProof w:val="0"/>
          <w:color w:val="000000" w:themeColor="text1"/>
          <w:rtl/>
        </w:rPr>
        <w:t>גבוה להוראה ודיינות</w:t>
      </w:r>
      <w:r>
        <w:rPr>
          <w:rFonts w:ascii="David" w:hAnsi="David" w:hint="cs"/>
          <w:b/>
          <w:bCs/>
          <w:noProof w:val="0"/>
          <w:spacing w:val="10"/>
          <w:rtl/>
        </w:rPr>
        <w:t>,</w:t>
      </w:r>
      <w:r w:rsidRPr="004B6FA2">
        <w:rPr>
          <w:rFonts w:ascii="David" w:hAnsi="David"/>
          <w:noProof w:val="0"/>
          <w:spacing w:val="10"/>
          <w:rtl/>
        </w:rPr>
        <w:t xml:space="preserve"> פ"ד מט(2) 441 (1995)</w:t>
      </w:r>
      <w:r>
        <w:rPr>
          <w:rFonts w:ascii="David" w:hAnsi="David" w:hint="cs"/>
          <w:noProof w:val="0"/>
          <w:spacing w:val="10"/>
          <w:rtl/>
        </w:rPr>
        <w:t xml:space="preserve"> (להלן: </w:t>
      </w:r>
      <w:r w:rsidRPr="00CA0BBC">
        <w:rPr>
          <w:rFonts w:ascii="David" w:hAnsi="David" w:hint="cs"/>
          <w:b/>
          <w:bCs/>
          <w:noProof w:val="0"/>
          <w:spacing w:val="10"/>
          <w:rtl/>
        </w:rPr>
        <w:t>"עניין גודמן"</w:t>
      </w:r>
      <w:r>
        <w:rPr>
          <w:rFonts w:ascii="David" w:hAnsi="David" w:hint="cs"/>
          <w:noProof w:val="0"/>
          <w:spacing w:val="10"/>
          <w:rtl/>
        </w:rPr>
        <w:t>)</w:t>
      </w:r>
      <w:r w:rsidRPr="004B6FA2">
        <w:rPr>
          <w:rFonts w:ascii="David" w:hAnsi="David"/>
          <w:noProof w:val="0"/>
          <w:spacing w:val="10"/>
          <w:rtl/>
        </w:rPr>
        <w:t xml:space="preserve">; ע"א 6198/95 </w:t>
      </w:r>
      <w:r w:rsidRPr="004B6FA2">
        <w:rPr>
          <w:rFonts w:ascii="David" w:hAnsi="David"/>
          <w:b/>
          <w:bCs/>
          <w:noProof w:val="0"/>
          <w:spacing w:val="10"/>
          <w:rtl/>
        </w:rPr>
        <w:t>שולמית יעקב נ' שרה בראשי</w:t>
      </w:r>
      <w:r w:rsidRPr="004B6FA2">
        <w:rPr>
          <w:rFonts w:ascii="David" w:hAnsi="David"/>
          <w:noProof w:val="0"/>
          <w:rtl/>
        </w:rPr>
        <w:t xml:space="preserve"> פ"ד נב(2) 603 (1998)</w:t>
      </w:r>
      <w:r w:rsidRPr="004B6FA2">
        <w:rPr>
          <w:rFonts w:ascii="David" w:hAnsi="David"/>
          <w:noProof w:val="0"/>
          <w:spacing w:val="10"/>
          <w:rtl/>
        </w:rPr>
        <w:t xml:space="preserve">; בע"א 2098/97 </w:t>
      </w:r>
      <w:r w:rsidRPr="004B6FA2">
        <w:rPr>
          <w:rFonts w:ascii="David" w:hAnsi="David"/>
          <w:b/>
          <w:bCs/>
          <w:noProof w:val="0"/>
          <w:spacing w:val="10"/>
          <w:rtl/>
        </w:rPr>
        <w:t>בוסקילה נ' בוסקילה</w:t>
      </w:r>
      <w:r>
        <w:rPr>
          <w:rFonts w:ascii="David" w:hAnsi="David" w:hint="cs"/>
          <w:noProof w:val="0"/>
          <w:spacing w:val="10"/>
          <w:rtl/>
        </w:rPr>
        <w:t>,</w:t>
      </w:r>
      <w:r w:rsidRPr="004B6FA2">
        <w:rPr>
          <w:rFonts w:ascii="David" w:hAnsi="David"/>
          <w:noProof w:val="0"/>
          <w:spacing w:val="10"/>
          <w:rtl/>
        </w:rPr>
        <w:t xml:space="preserve"> פ"ד נה(3)837, 850-855 (2001)</w:t>
      </w:r>
      <w:r>
        <w:rPr>
          <w:rFonts w:ascii="David" w:hAnsi="David" w:hint="cs"/>
          <w:noProof w:val="0"/>
          <w:spacing w:val="10"/>
          <w:rtl/>
        </w:rPr>
        <w:t xml:space="preserve"> (להלן: </w:t>
      </w:r>
      <w:r w:rsidRPr="000B23E6">
        <w:rPr>
          <w:rFonts w:ascii="David" w:hAnsi="David" w:hint="cs"/>
          <w:b/>
          <w:bCs/>
          <w:noProof w:val="0"/>
          <w:spacing w:val="10"/>
          <w:rtl/>
        </w:rPr>
        <w:t>"עניין בוסקילה"</w:t>
      </w:r>
      <w:r>
        <w:rPr>
          <w:rFonts w:ascii="David" w:hAnsi="David" w:hint="cs"/>
          <w:noProof w:val="0"/>
          <w:spacing w:val="10"/>
          <w:rtl/>
        </w:rPr>
        <w:t>)</w:t>
      </w:r>
      <w:r w:rsidRPr="004B6FA2">
        <w:rPr>
          <w:rFonts w:ascii="David" w:hAnsi="David"/>
          <w:noProof w:val="0"/>
          <w:spacing w:val="10"/>
          <w:rtl/>
        </w:rPr>
        <w:t xml:space="preserve">; </w:t>
      </w:r>
      <w:r w:rsidRPr="0019154E">
        <w:rPr>
          <w:rFonts w:ascii="David" w:hAnsi="David"/>
          <w:b/>
          <w:bCs/>
          <w:noProof w:val="0"/>
          <w:spacing w:val="10"/>
          <w:rtl/>
        </w:rPr>
        <w:t>שילה</w:t>
      </w:r>
      <w:r>
        <w:rPr>
          <w:rFonts w:ascii="David" w:hAnsi="David" w:hint="cs"/>
          <w:b/>
          <w:bCs/>
          <w:noProof w:val="0"/>
          <w:spacing w:val="10"/>
          <w:rtl/>
        </w:rPr>
        <w:t xml:space="preserve">, </w:t>
      </w:r>
      <w:r w:rsidRPr="004B6FA2">
        <w:rPr>
          <w:rFonts w:ascii="David" w:hAnsi="David" w:hint="cs"/>
          <w:noProof w:val="0"/>
          <w:spacing w:val="10"/>
          <w:rtl/>
        </w:rPr>
        <w:t>ב</w:t>
      </w:r>
      <w:r w:rsidRPr="004B6FA2">
        <w:rPr>
          <w:rFonts w:ascii="David" w:hAnsi="David"/>
          <w:noProof w:val="0"/>
          <w:spacing w:val="10"/>
          <w:rtl/>
        </w:rPr>
        <w:t>עמ' 233</w:t>
      </w:r>
      <w:r>
        <w:rPr>
          <w:rFonts w:ascii="David" w:hAnsi="David" w:hint="cs"/>
          <w:noProof w:val="0"/>
          <w:spacing w:val="10"/>
          <w:rtl/>
        </w:rPr>
        <w:t>)</w:t>
      </w:r>
      <w:r w:rsidRPr="004B6FA2">
        <w:rPr>
          <w:rFonts w:ascii="David" w:hAnsi="David"/>
          <w:noProof w:val="0"/>
          <w:spacing w:val="10"/>
          <w:rtl/>
        </w:rPr>
        <w:t>.</w:t>
      </w:r>
    </w:p>
    <w:p w:rsidR="00021B73" w:rsidRDefault="00021B73" w:rsidP="00021B73">
      <w:pPr>
        <w:numPr>
          <w:ilvl w:val="0"/>
          <w:numId w:val="7"/>
        </w:numPr>
        <w:tabs>
          <w:tab w:val="left" w:pos="708"/>
        </w:tabs>
        <w:spacing w:after="120" w:line="360" w:lineRule="auto"/>
        <w:ind w:left="0" w:firstLine="0"/>
        <w:jc w:val="both"/>
        <w:outlineLvl w:val="3"/>
        <w:rPr>
          <w:rFonts w:ascii="David" w:eastAsia="Calibri" w:hAnsi="David"/>
          <w:noProof w:val="0"/>
        </w:rPr>
      </w:pPr>
      <w:r w:rsidRPr="00750F71">
        <w:rPr>
          <w:rFonts w:ascii="David" w:eastAsia="Calibri" w:hAnsi="David" w:hint="cs"/>
          <w:noProof w:val="0"/>
          <w:rtl/>
        </w:rPr>
        <w:t xml:space="preserve">הנה כי כן, </w:t>
      </w:r>
      <w:r>
        <w:rPr>
          <w:rFonts w:ascii="David" w:eastAsia="Calibri" w:hAnsi="David" w:hint="cs"/>
          <w:noProof w:val="0"/>
          <w:rtl/>
        </w:rPr>
        <w:t>בבואו של בית המשפט לבחון טענה לפגם או חסר בצוואה עליו להשיב על השאלות:</w:t>
      </w:r>
    </w:p>
    <w:p w:rsidR="00021B73" w:rsidRPr="00D25CD7" w:rsidRDefault="00021B73" w:rsidP="00021B73">
      <w:pPr>
        <w:pStyle w:val="a9"/>
        <w:numPr>
          <w:ilvl w:val="0"/>
          <w:numId w:val="13"/>
        </w:numPr>
        <w:spacing w:after="120" w:line="360" w:lineRule="auto"/>
        <w:ind w:left="1276" w:hanging="567"/>
        <w:contextualSpacing w:val="0"/>
        <w:jc w:val="both"/>
        <w:outlineLvl w:val="3"/>
        <w:rPr>
          <w:rFonts w:ascii="David" w:eastAsia="Calibri" w:hAnsi="David"/>
          <w:b/>
          <w:bCs/>
          <w:noProof w:val="0"/>
        </w:rPr>
      </w:pPr>
      <w:r w:rsidRPr="00D25CD7">
        <w:rPr>
          <w:rFonts w:ascii="David" w:eastAsia="Calibri" w:hAnsi="David" w:hint="cs"/>
          <w:b/>
          <w:bCs/>
          <w:noProof w:val="0"/>
          <w:rtl/>
        </w:rPr>
        <w:t xml:space="preserve">האם נפל פגם או חסר בצוואה? במידה שכן, </w:t>
      </w:r>
      <w:r>
        <w:rPr>
          <w:rFonts w:ascii="David" w:eastAsia="Calibri" w:hAnsi="David" w:hint="cs"/>
          <w:b/>
          <w:bCs/>
          <w:noProof w:val="0"/>
          <w:rtl/>
        </w:rPr>
        <w:t xml:space="preserve">אזי </w:t>
      </w:r>
      <w:r w:rsidRPr="00D25CD7">
        <w:rPr>
          <w:rFonts w:ascii="David" w:eastAsia="Calibri" w:hAnsi="David" w:hint="cs"/>
          <w:b/>
          <w:bCs/>
          <w:noProof w:val="0"/>
          <w:rtl/>
        </w:rPr>
        <w:t>מהי חומרתו?</w:t>
      </w:r>
    </w:p>
    <w:p w:rsidR="00021B73" w:rsidRPr="00D25CD7" w:rsidRDefault="00021B73" w:rsidP="00021B73">
      <w:pPr>
        <w:pStyle w:val="a9"/>
        <w:numPr>
          <w:ilvl w:val="0"/>
          <w:numId w:val="13"/>
        </w:numPr>
        <w:spacing w:after="120" w:line="360" w:lineRule="auto"/>
        <w:ind w:left="1275" w:hanging="567"/>
        <w:jc w:val="both"/>
        <w:outlineLvl w:val="3"/>
        <w:rPr>
          <w:rFonts w:ascii="David" w:eastAsia="Calibri" w:hAnsi="David"/>
          <w:b/>
          <w:bCs/>
          <w:noProof w:val="0"/>
        </w:rPr>
      </w:pPr>
      <w:r w:rsidRPr="00D25CD7">
        <w:rPr>
          <w:rFonts w:ascii="David" w:eastAsia="Calibri" w:hAnsi="David" w:hint="cs"/>
          <w:b/>
          <w:bCs/>
          <w:noProof w:val="0"/>
          <w:rtl/>
        </w:rPr>
        <w:t>האם הוכח במידת הצורך שהצוואה משקפת את רצונו החופשי והאמיתי של המצווה?</w:t>
      </w:r>
    </w:p>
    <w:p w:rsidR="00021B73" w:rsidRPr="00D25CD7" w:rsidRDefault="00021B73" w:rsidP="00021B73">
      <w:pPr>
        <w:spacing w:after="120" w:line="360" w:lineRule="auto"/>
        <w:ind w:left="708"/>
        <w:jc w:val="both"/>
        <w:outlineLvl w:val="3"/>
        <w:rPr>
          <w:rFonts w:ascii="David" w:eastAsia="Calibri" w:hAnsi="David"/>
          <w:noProof w:val="0"/>
        </w:rPr>
      </w:pPr>
      <w:r w:rsidRPr="00D25CD7">
        <w:rPr>
          <w:rFonts w:ascii="David" w:eastAsia="Calibri" w:hAnsi="David" w:hint="cs"/>
          <w:noProof w:val="0"/>
          <w:rtl/>
        </w:rPr>
        <w:t>לשם הנוחות להלן תרשים לתיאור בחינת הסוגיה</w:t>
      </w:r>
      <w:r w:rsidRPr="00D25CD7">
        <w:rPr>
          <w:rFonts w:ascii="David" w:eastAsia="Calibri" w:hAnsi="David"/>
          <w:noProof w:val="0"/>
        </w:rPr>
        <w:t>:</w:t>
      </w:r>
    </w:p>
    <w:p w:rsidR="00021B73" w:rsidRPr="00F67DA5" w:rsidRDefault="00021B73" w:rsidP="00021B73">
      <w:pPr>
        <w:pStyle w:val="a9"/>
        <w:spacing w:after="120" w:line="360" w:lineRule="auto"/>
        <w:ind w:left="0"/>
        <w:jc w:val="both"/>
        <w:outlineLvl w:val="3"/>
        <w:rPr>
          <w:rFonts w:ascii="David" w:eastAsia="Calibri" w:hAnsi="David"/>
          <w:noProof w:val="0"/>
        </w:rPr>
      </w:pPr>
      <w:r w:rsidRPr="00175E31">
        <w:rPr>
          <w:rFonts w:ascii="David" w:eastAsia="Calibri" w:hAnsi="David"/>
          <w:rtl/>
        </w:rPr>
        <w:lastRenderedPageBreak/>
        <w:drawing>
          <wp:inline distT="0" distB="0" distL="0" distR="0" wp14:anchorId="340C9808" wp14:editId="623142A5">
            <wp:extent cx="5486400" cy="4432881"/>
            <wp:effectExtent l="0" t="0" r="0" b="635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377" b="2351"/>
                    <a:stretch/>
                  </pic:blipFill>
                  <pic:spPr bwMode="auto">
                    <a:xfrm>
                      <a:off x="0" y="0"/>
                      <a:ext cx="5486400" cy="4432881"/>
                    </a:xfrm>
                    <a:prstGeom prst="rect">
                      <a:avLst/>
                    </a:prstGeom>
                    <a:ln>
                      <a:noFill/>
                    </a:ln>
                    <a:extLst>
                      <a:ext uri="{53640926-AAD7-44D8-BBD7-CCE9431645EC}">
                        <a14:shadowObscured xmlns:a14="http://schemas.microsoft.com/office/drawing/2010/main"/>
                      </a:ext>
                    </a:extLst>
                  </pic:spPr>
                </pic:pic>
              </a:graphicData>
            </a:graphic>
          </wp:inline>
        </w:drawing>
      </w:r>
    </w:p>
    <w:p w:rsidR="00021B73" w:rsidRPr="00D25CD7" w:rsidRDefault="00021B73" w:rsidP="00021B73">
      <w:pPr>
        <w:spacing w:before="240" w:after="120" w:line="360" w:lineRule="auto"/>
        <w:jc w:val="both"/>
        <w:outlineLvl w:val="3"/>
        <w:rPr>
          <w:rFonts w:ascii="David" w:eastAsia="Calibri" w:hAnsi="David"/>
          <w:b/>
          <w:bCs/>
          <w:noProof w:val="0"/>
          <w:sz w:val="28"/>
          <w:szCs w:val="28"/>
          <w:u w:val="single"/>
        </w:rPr>
      </w:pPr>
      <w:r w:rsidRPr="00D25CD7">
        <w:rPr>
          <w:rFonts w:ascii="David" w:eastAsia="Calibri" w:hAnsi="David" w:hint="cs"/>
          <w:b/>
          <w:bCs/>
          <w:noProof w:val="0"/>
          <w:sz w:val="28"/>
          <w:szCs w:val="28"/>
          <w:u w:val="single"/>
          <w:rtl/>
        </w:rPr>
        <w:t>(א) האם נפל פגם/חסר בצוואה ומהי מידת חומרתו?</w:t>
      </w:r>
    </w:p>
    <w:p w:rsidR="00021B73" w:rsidRPr="009D2670" w:rsidRDefault="00021B73" w:rsidP="00021B73">
      <w:pPr>
        <w:numPr>
          <w:ilvl w:val="0"/>
          <w:numId w:val="7"/>
        </w:numPr>
        <w:tabs>
          <w:tab w:val="left" w:pos="708"/>
        </w:tabs>
        <w:spacing w:after="240" w:line="360" w:lineRule="auto"/>
        <w:ind w:left="0" w:firstLine="0"/>
        <w:jc w:val="both"/>
        <w:outlineLvl w:val="3"/>
        <w:rPr>
          <w:rFonts w:ascii="David" w:eastAsia="Calibri" w:hAnsi="David"/>
          <w:b/>
          <w:bCs/>
          <w:noProof w:val="0"/>
        </w:rPr>
      </w:pPr>
      <w:r>
        <w:rPr>
          <w:rFonts w:ascii="David" w:eastAsia="Calibri" w:hAnsi="David" w:hint="cs"/>
          <w:noProof w:val="0"/>
          <w:rtl/>
        </w:rPr>
        <w:t xml:space="preserve">היעדר אישור העדים על הצהרת המנוחה בצוואה כבר הוכר בפסיקה כפגם צורני שיש בו כדי להוות טעם להעברת נטל השכנוע לכתפי המבקשת (ע"א 851/79 </w:t>
      </w:r>
      <w:r w:rsidRPr="00E73C23">
        <w:rPr>
          <w:rFonts w:ascii="David" w:eastAsia="Calibri" w:hAnsi="David" w:hint="cs"/>
          <w:b/>
          <w:bCs/>
          <w:noProof w:val="0"/>
          <w:rtl/>
        </w:rPr>
        <w:t>שולמית בנדל נ' דורון בנדל</w:t>
      </w:r>
      <w:r>
        <w:rPr>
          <w:rFonts w:ascii="David" w:eastAsia="Calibri" w:hAnsi="David" w:hint="cs"/>
          <w:noProof w:val="0"/>
          <w:rtl/>
        </w:rPr>
        <w:t>, פ"ד לה(3) 101 (1981); עניין גו</w:t>
      </w:r>
      <w:r w:rsidRPr="00E73C23">
        <w:rPr>
          <w:rFonts w:ascii="David" w:eastAsia="Calibri" w:hAnsi="David" w:hint="cs"/>
          <w:noProof w:val="0"/>
          <w:rtl/>
        </w:rPr>
        <w:t xml:space="preserve">דמן; עמ"ש 38138-09-11; ע"א 1511/05). </w:t>
      </w:r>
    </w:p>
    <w:p w:rsidR="00021B73" w:rsidRPr="00072978" w:rsidRDefault="00021B73" w:rsidP="00021B73">
      <w:pPr>
        <w:spacing w:after="240" w:line="360" w:lineRule="auto"/>
        <w:ind w:firstLine="708"/>
        <w:jc w:val="both"/>
        <w:outlineLvl w:val="3"/>
        <w:rPr>
          <w:rFonts w:ascii="David" w:eastAsia="Calibri" w:hAnsi="David"/>
          <w:b/>
          <w:bCs/>
          <w:noProof w:val="0"/>
        </w:rPr>
      </w:pPr>
      <w:r w:rsidRPr="00E73C23">
        <w:rPr>
          <w:rFonts w:ascii="David" w:eastAsia="Calibri" w:hAnsi="David" w:hint="cs"/>
          <w:noProof w:val="0"/>
          <w:rtl/>
        </w:rPr>
        <w:t xml:space="preserve">עם זאת, גם נקבע בפסיקה כי לא כל מקרה שבו הצהרת המצווה אינה מנוסחת על פי הנוסח המדויק המופיע </w:t>
      </w:r>
      <w:r>
        <w:rPr>
          <w:rFonts w:ascii="David" w:eastAsia="Calibri" w:hAnsi="David" w:hint="cs"/>
          <w:noProof w:val="0"/>
          <w:rtl/>
        </w:rPr>
        <w:t>ב</w:t>
      </w:r>
      <w:r w:rsidRPr="00E73C23">
        <w:rPr>
          <w:rFonts w:ascii="David" w:eastAsia="Calibri" w:hAnsi="David" w:hint="cs"/>
          <w:noProof w:val="0"/>
          <w:rtl/>
        </w:rPr>
        <w:t>סעיף 20 לחוק הירושה יהווה בהכרח פגם או חסר</w:t>
      </w:r>
      <w:r>
        <w:rPr>
          <w:rFonts w:ascii="David" w:eastAsia="Calibri" w:hAnsi="David" w:hint="cs"/>
          <w:noProof w:val="0"/>
          <w:rtl/>
        </w:rPr>
        <w:t>. הדרישה היא לאמירה שהמצווה מודע לכך שהוא חותם על צוואתו.</w:t>
      </w:r>
      <w:r>
        <w:rPr>
          <w:rFonts w:ascii="David" w:eastAsia="Calibri" w:hAnsi="David" w:hint="cs"/>
          <w:b/>
          <w:bCs/>
          <w:noProof w:val="0"/>
          <w:rtl/>
        </w:rPr>
        <w:t xml:space="preserve"> </w:t>
      </w:r>
      <w:r>
        <w:rPr>
          <w:rFonts w:ascii="David" w:eastAsia="Calibri" w:hAnsi="David" w:hint="cs"/>
          <w:noProof w:val="0"/>
          <w:rtl/>
        </w:rPr>
        <w:t>כמו כן, נקבע כי מקרה ש</w:t>
      </w:r>
      <w:r>
        <w:rPr>
          <w:rFonts w:ascii="Arial" w:hAnsi="Arial"/>
          <w:noProof w:val="0"/>
          <w:rtl/>
        </w:rPr>
        <w:t xml:space="preserve">בו על פי אישור העדים, המצווה חתם בפניהם על צוואתו, הבין את תוכנה והיה מודע לכך </w:t>
      </w:r>
      <w:r>
        <w:rPr>
          <w:rFonts w:ascii="Arial" w:hAnsi="Arial" w:hint="cs"/>
          <w:noProof w:val="0"/>
          <w:rtl/>
        </w:rPr>
        <w:t>שהוא עורך צוואה, אזי</w:t>
      </w:r>
      <w:r>
        <w:rPr>
          <w:rFonts w:ascii="Arial" w:hAnsi="Arial"/>
          <w:noProof w:val="0"/>
          <w:rtl/>
        </w:rPr>
        <w:t xml:space="preserve"> אישור העדים </w:t>
      </w:r>
      <w:r>
        <w:rPr>
          <w:rFonts w:ascii="Arial" w:hAnsi="Arial" w:hint="cs"/>
          <w:noProof w:val="0"/>
          <w:rtl/>
        </w:rPr>
        <w:t xml:space="preserve">הגשים </w:t>
      </w:r>
      <w:r>
        <w:rPr>
          <w:rFonts w:ascii="Arial" w:hAnsi="Arial"/>
          <w:noProof w:val="0"/>
          <w:rtl/>
        </w:rPr>
        <w:t xml:space="preserve">את ייעודו ואין </w:t>
      </w:r>
      <w:r>
        <w:rPr>
          <w:rFonts w:ascii="Arial" w:hAnsi="Arial" w:hint="cs"/>
          <w:noProof w:val="0"/>
          <w:rtl/>
        </w:rPr>
        <w:t>הכרח בנוסח מסוים</w:t>
      </w:r>
      <w:r w:rsidRPr="008611D3">
        <w:rPr>
          <w:rFonts w:ascii="David" w:eastAsia="Calibri" w:hAnsi="David" w:hint="cs"/>
          <w:noProof w:val="0"/>
          <w:rtl/>
        </w:rPr>
        <w:t xml:space="preserve"> </w:t>
      </w:r>
      <w:r>
        <w:rPr>
          <w:rFonts w:ascii="David" w:eastAsia="Calibri" w:hAnsi="David" w:hint="cs"/>
          <w:noProof w:val="0"/>
          <w:rtl/>
        </w:rPr>
        <w:t xml:space="preserve">(עמ"ש 38138-09-11; ת"ע (ת"א) 15680-11-21 </w:t>
      </w:r>
      <w:r w:rsidRPr="00E73C23">
        <w:rPr>
          <w:rFonts w:ascii="David" w:eastAsia="Calibri" w:hAnsi="David" w:hint="cs"/>
          <w:b/>
          <w:bCs/>
          <w:noProof w:val="0"/>
          <w:rtl/>
        </w:rPr>
        <w:t>פלוני נ' אלמוני</w:t>
      </w:r>
      <w:r>
        <w:rPr>
          <w:rFonts w:ascii="David" w:eastAsia="Calibri" w:hAnsi="David" w:hint="cs"/>
          <w:noProof w:val="0"/>
          <w:rtl/>
        </w:rPr>
        <w:t xml:space="preserve"> (14.12.2023)).</w:t>
      </w:r>
      <w:r w:rsidRPr="00072978">
        <w:rPr>
          <w:rFonts w:ascii="David" w:eastAsia="Calibri" w:hAnsi="David"/>
          <w:b/>
          <w:bCs/>
          <w:noProof w:val="0"/>
        </w:rPr>
        <w:t xml:space="preserve"> </w:t>
      </w:r>
    </w:p>
    <w:p w:rsidR="00021B73" w:rsidRPr="00034801" w:rsidRDefault="00021B73" w:rsidP="00021B73">
      <w:pPr>
        <w:numPr>
          <w:ilvl w:val="0"/>
          <w:numId w:val="7"/>
        </w:numPr>
        <w:spacing w:after="120" w:line="360" w:lineRule="auto"/>
        <w:ind w:left="0" w:firstLine="0"/>
        <w:jc w:val="both"/>
        <w:outlineLvl w:val="3"/>
        <w:rPr>
          <w:rFonts w:ascii="David" w:eastAsia="Calibri" w:hAnsi="David"/>
          <w:b/>
          <w:bCs/>
          <w:noProof w:val="0"/>
        </w:rPr>
      </w:pPr>
      <w:r>
        <w:rPr>
          <w:rFonts w:ascii="David" w:eastAsia="Calibri" w:hAnsi="David" w:hint="cs"/>
          <w:noProof w:val="0"/>
          <w:rtl/>
        </w:rPr>
        <w:lastRenderedPageBreak/>
        <w:t xml:space="preserve">בענייננו, </w:t>
      </w:r>
      <w:r w:rsidRPr="004A6955">
        <w:rPr>
          <w:rFonts w:ascii="David" w:eastAsia="Calibri" w:hAnsi="David" w:hint="cs"/>
          <w:noProof w:val="0"/>
          <w:rtl/>
        </w:rPr>
        <w:t xml:space="preserve">העדים לא אישרו מפורשות כי המנוחה הצהירה בפניהם שזו צוואתה. משכך, גם לא ברור אם אכן הייתה הצהרה כזו של המנוחה במועד עריכת הצוואה. </w:t>
      </w:r>
    </w:p>
    <w:p w:rsidR="00021B73" w:rsidRPr="00034801" w:rsidRDefault="00021B73" w:rsidP="00021B73">
      <w:pPr>
        <w:spacing w:after="240" w:line="360" w:lineRule="auto"/>
        <w:ind w:firstLine="709"/>
        <w:jc w:val="both"/>
        <w:outlineLvl w:val="3"/>
        <w:rPr>
          <w:rFonts w:ascii="David" w:eastAsia="Calibri" w:hAnsi="David"/>
          <w:b/>
          <w:bCs/>
          <w:noProof w:val="0"/>
        </w:rPr>
      </w:pPr>
      <w:r>
        <w:rPr>
          <w:rFonts w:ascii="David" w:eastAsia="Calibri" w:hAnsi="David" w:hint="cs"/>
          <w:rtl/>
        </w:rPr>
        <mc:AlternateContent>
          <mc:Choice Requires="wps">
            <w:drawing>
              <wp:anchor distT="0" distB="0" distL="114300" distR="114300" simplePos="0" relativeHeight="251663360" behindDoc="0" locked="0" layoutInCell="1" allowOverlap="1" wp14:anchorId="16D6A8AF" wp14:editId="4411F4E6">
                <wp:simplePos x="0" y="0"/>
                <wp:positionH relativeFrom="column">
                  <wp:posOffset>-79471</wp:posOffset>
                </wp:positionH>
                <wp:positionV relativeFrom="paragraph">
                  <wp:posOffset>1239364</wp:posOffset>
                </wp:positionV>
                <wp:extent cx="5520906" cy="439947"/>
                <wp:effectExtent l="0" t="0" r="22860" b="17780"/>
                <wp:wrapNone/>
                <wp:docPr id="33" name="מלבן מעוגל 33"/>
                <wp:cNvGraphicFramePr/>
                <a:graphic xmlns:a="http://schemas.openxmlformats.org/drawingml/2006/main">
                  <a:graphicData uri="http://schemas.microsoft.com/office/word/2010/wordprocessingShape">
                    <wps:wsp>
                      <wps:cNvSpPr/>
                      <wps:spPr>
                        <a:xfrm>
                          <a:off x="0" y="0"/>
                          <a:ext cx="5520906" cy="439947"/>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w14:anchorId="287E0D12" id="מלבן מעוגל 33" o:spid="_x0000_s1026" style="position:absolute;left:0;text-align:left;margin-left:-6.25pt;margin-top:97.6pt;width:434.7pt;height:34.6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" fillcolor="#4f81bd [3204]" strokecolor="#243f60 [1604]" strokeweight="2pt">
                <v:fill opacity="19789f"/>
              </v:roundrect>
            </w:pict>
          </mc:Fallback>
        </mc:AlternateContent>
      </w:r>
      <w:r w:rsidRPr="004A6955">
        <w:rPr>
          <w:rFonts w:ascii="David" w:eastAsia="Calibri" w:hAnsi="David" w:hint="cs"/>
          <w:noProof w:val="0"/>
          <w:rtl/>
        </w:rPr>
        <w:t>עם זאת, מצאתי כי אישור העדים המופיע על גבי הצוואה הוא למעשה רחב יותר מזה הנדרש על פי הוראות החוק. העדים אישרו כי נוכחו שהמנוחה הבינה היטב את תוכנה של הצוואה, וכי התרשמו שהמנוחה חתמה על הצוואה מרצונה כשהיא בדעה צלולה</w:t>
      </w:r>
      <w:r>
        <w:rPr>
          <w:rFonts w:ascii="David" w:eastAsia="Calibri" w:hAnsi="David" w:hint="cs"/>
          <w:noProof w:val="0"/>
          <w:rtl/>
        </w:rPr>
        <w:t xml:space="preserve">. זאת לאחר שהמנוחה הבהירה בסעיף 1 לצוואה, כי </w:t>
      </w:r>
      <w:r w:rsidRPr="00034801">
        <w:rPr>
          <w:rFonts w:ascii="David" w:eastAsia="Calibri" w:hAnsi="David" w:hint="cs"/>
          <w:b/>
          <w:bCs/>
          <w:noProof w:val="0"/>
          <w:rtl/>
        </w:rPr>
        <w:t>"בצוואה זו היא מבטלת כל צוואה אחרת..."</w:t>
      </w:r>
      <w:r>
        <w:rPr>
          <w:rFonts w:ascii="David" w:eastAsia="Calibri" w:hAnsi="David" w:hint="cs"/>
          <w:noProof w:val="0"/>
          <w:rtl/>
        </w:rPr>
        <w:t>.</w:t>
      </w:r>
      <w:r w:rsidRPr="004A6955">
        <w:rPr>
          <w:rFonts w:ascii="David" w:eastAsia="Calibri" w:hAnsi="David" w:hint="cs"/>
          <w:noProof w:val="0"/>
          <w:rtl/>
        </w:rPr>
        <w:t xml:space="preserve"> </w:t>
      </w:r>
      <w:r w:rsidRPr="00034801">
        <w:rPr>
          <w:rFonts w:ascii="David" w:eastAsia="Calibri" w:hAnsi="David" w:hint="cs"/>
          <w:b/>
          <w:bCs/>
          <w:noProof w:val="0"/>
          <w:rtl/>
        </w:rPr>
        <w:t xml:space="preserve">בכך הגשים אישור העדים את ייעודו. </w:t>
      </w:r>
    </w:p>
    <w:p w:rsidR="00021B73" w:rsidRPr="00021E6D" w:rsidRDefault="00021B73" w:rsidP="00021B73">
      <w:pPr>
        <w:pStyle w:val="a9"/>
        <w:numPr>
          <w:ilvl w:val="0"/>
          <w:numId w:val="7"/>
        </w:numPr>
        <w:spacing w:after="240" w:line="360" w:lineRule="auto"/>
        <w:ind w:left="0" w:firstLine="0"/>
        <w:contextualSpacing w:val="0"/>
        <w:jc w:val="both"/>
        <w:rPr>
          <w:rFonts w:ascii="David" w:eastAsia="Calibri" w:hAnsi="David"/>
          <w:b/>
          <w:bCs/>
          <w:noProof w:val="0"/>
          <w:rtl/>
        </w:rPr>
      </w:pPr>
      <w:r>
        <w:rPr>
          <w:rFonts w:ascii="David" w:eastAsia="Calibri" w:hAnsi="David" w:hint="cs"/>
          <w:b/>
          <w:bCs/>
          <w:noProof w:val="0"/>
          <w:rtl/>
        </w:rPr>
        <w:t xml:space="preserve">התוצאה </w:t>
      </w:r>
      <w:r>
        <w:rPr>
          <w:rFonts w:ascii="David" w:eastAsia="Calibri" w:hAnsi="David"/>
          <w:b/>
          <w:bCs/>
          <w:noProof w:val="0"/>
          <w:rtl/>
        </w:rPr>
        <w:t>–</w:t>
      </w:r>
      <w:r w:rsidRPr="00652ECA">
        <w:rPr>
          <w:rFonts w:ascii="David" w:eastAsia="Calibri" w:hAnsi="David"/>
          <w:b/>
          <w:bCs/>
          <w:noProof w:val="0"/>
          <w:rtl/>
        </w:rPr>
        <w:t xml:space="preserve"> סבורתני כי בענייננו אין לראות בנוסח של אישור העדים כפגם צורני </w:t>
      </w:r>
      <w:r>
        <w:rPr>
          <w:rFonts w:ascii="David" w:eastAsia="Calibri" w:hAnsi="David" w:hint="cs"/>
          <w:b/>
          <w:bCs/>
          <w:noProof w:val="0"/>
          <w:rtl/>
        </w:rPr>
        <w:t xml:space="preserve">(אשר מצוי ברף הנמוך ביותר) </w:t>
      </w:r>
      <w:r w:rsidRPr="00652ECA">
        <w:rPr>
          <w:rFonts w:ascii="David" w:eastAsia="Calibri" w:hAnsi="David"/>
          <w:b/>
          <w:bCs/>
          <w:noProof w:val="0"/>
          <w:rtl/>
        </w:rPr>
        <w:t>אשר יש בו כדי להעביר את הנטל</w:t>
      </w:r>
      <w:r>
        <w:rPr>
          <w:rFonts w:ascii="David" w:eastAsia="Calibri" w:hAnsi="David" w:hint="cs"/>
          <w:b/>
          <w:bCs/>
          <w:noProof w:val="0"/>
          <w:rtl/>
        </w:rPr>
        <w:t xml:space="preserve"> אל כתפי המבקשת</w:t>
      </w:r>
      <w:r w:rsidRPr="00652ECA">
        <w:rPr>
          <w:rFonts w:ascii="David" w:eastAsia="Calibri" w:hAnsi="David"/>
          <w:b/>
          <w:bCs/>
          <w:noProof w:val="0"/>
          <w:rtl/>
        </w:rPr>
        <w:t xml:space="preserve">. </w:t>
      </w:r>
    </w:p>
    <w:p w:rsidR="00021B73" w:rsidRPr="0019060D" w:rsidRDefault="00021B73" w:rsidP="00021B73">
      <w:pPr>
        <w:numPr>
          <w:ilvl w:val="0"/>
          <w:numId w:val="7"/>
        </w:numPr>
        <w:spacing w:after="240" w:line="360" w:lineRule="auto"/>
        <w:ind w:left="0" w:firstLine="0"/>
        <w:jc w:val="both"/>
        <w:outlineLvl w:val="3"/>
        <w:rPr>
          <w:rFonts w:ascii="David" w:eastAsia="Calibri" w:hAnsi="David"/>
          <w:b/>
          <w:bCs/>
          <w:noProof w:val="0"/>
          <w:rtl/>
        </w:rPr>
      </w:pPr>
      <w:r>
        <w:rPr>
          <w:rFonts w:ascii="David" w:eastAsia="Calibri" w:hAnsi="David" w:hint="cs"/>
          <w:noProof w:val="0"/>
          <w:rtl/>
        </w:rPr>
        <w:t xml:space="preserve">למעלה מן הצורך, אעבור עתה לבחון את השאלה </w:t>
      </w:r>
      <w:r>
        <w:rPr>
          <w:rFonts w:ascii="David" w:eastAsia="Calibri" w:hAnsi="David"/>
          <w:noProof w:val="0"/>
          <w:rtl/>
        </w:rPr>
        <w:t>–</w:t>
      </w:r>
      <w:r>
        <w:rPr>
          <w:rFonts w:ascii="David" w:eastAsia="Calibri" w:hAnsi="David" w:hint="cs"/>
          <w:noProof w:val="0"/>
          <w:rtl/>
        </w:rPr>
        <w:t xml:space="preserve"> האם המבקשת עמדה בנטל השכנוע המוטל על כתפיה להוכיח כי הצוואה משקפת את רצונה החופשי והאמיתי של המנוחה. </w:t>
      </w:r>
    </w:p>
    <w:p w:rsidR="00021B73" w:rsidRPr="00652ECA" w:rsidRDefault="00021B73" w:rsidP="00021B73">
      <w:pPr>
        <w:spacing w:after="120" w:line="360" w:lineRule="auto"/>
        <w:jc w:val="both"/>
        <w:outlineLvl w:val="3"/>
        <w:rPr>
          <w:rFonts w:ascii="David" w:eastAsia="Calibri" w:hAnsi="David"/>
          <w:b/>
          <w:bCs/>
          <w:noProof w:val="0"/>
          <w:sz w:val="28"/>
          <w:szCs w:val="28"/>
          <w:u w:val="single"/>
          <w:rtl/>
        </w:rPr>
      </w:pPr>
      <w:r w:rsidRPr="00652ECA">
        <w:rPr>
          <w:rFonts w:ascii="David" w:eastAsia="Calibri" w:hAnsi="David" w:hint="cs"/>
          <w:b/>
          <w:bCs/>
          <w:noProof w:val="0"/>
          <w:sz w:val="28"/>
          <w:szCs w:val="28"/>
          <w:u w:val="single"/>
          <w:rtl/>
        </w:rPr>
        <w:t>(ב) האם הצוואה משקפת את רצונה החופשי והאמיתי של המנוחה?</w:t>
      </w:r>
    </w:p>
    <w:p w:rsidR="00021B73" w:rsidRDefault="00021B73" w:rsidP="00021B73">
      <w:pPr>
        <w:pStyle w:val="a9"/>
        <w:numPr>
          <w:ilvl w:val="0"/>
          <w:numId w:val="7"/>
        </w:numPr>
        <w:spacing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לאחר בחינת הראיות והעדויות מצאתי, כי המבקשת הוכיחה שהצוואה משקפת את רצונה החופשי והאמיתי של המנוחה ברף ההוכחה הדרוש. </w:t>
      </w:r>
    </w:p>
    <w:p w:rsidR="00021B73" w:rsidRPr="00A218E2" w:rsidRDefault="00021B73" w:rsidP="00021B73">
      <w:pPr>
        <w:pStyle w:val="a9"/>
        <w:numPr>
          <w:ilvl w:val="0"/>
          <w:numId w:val="7"/>
        </w:numPr>
        <w:spacing w:after="120" w:line="360" w:lineRule="auto"/>
        <w:ind w:left="0" w:firstLine="0"/>
        <w:contextualSpacing w:val="0"/>
        <w:jc w:val="both"/>
        <w:outlineLvl w:val="3"/>
        <w:rPr>
          <w:rFonts w:ascii="David" w:eastAsia="Calibri" w:hAnsi="David"/>
          <w:noProof w:val="0"/>
          <w:rtl/>
        </w:rPr>
      </w:pPr>
      <w:r w:rsidRPr="00A218E2">
        <w:rPr>
          <w:rFonts w:ascii="David" w:eastAsia="Calibri" w:hAnsi="David" w:hint="cs"/>
          <w:noProof w:val="0"/>
          <w:rtl/>
        </w:rPr>
        <w:t>אף אם לא אביא בחשבון את מגמת ריכוך הנטל שבו נדרשת המבקשת לעמוד, התרשמתי כי המבקשת הוכיחה די הצורך</w:t>
      </w:r>
      <w:r>
        <w:rPr>
          <w:rFonts w:ascii="David" w:eastAsia="Calibri" w:hAnsi="David" w:hint="cs"/>
          <w:noProof w:val="0"/>
          <w:rtl/>
        </w:rPr>
        <w:t>,</w:t>
      </w:r>
      <w:r w:rsidRPr="00A218E2">
        <w:rPr>
          <w:rFonts w:ascii="David" w:eastAsia="Calibri" w:hAnsi="David" w:hint="cs"/>
          <w:noProof w:val="0"/>
          <w:rtl/>
        </w:rPr>
        <w:t xml:space="preserve"> כי הצוואה משקפת את רצונה החופשי והאמיתי של המנוחה, וזאת מן הטעמים הבאים:</w:t>
      </w:r>
    </w:p>
    <w:p w:rsidR="00021B73" w:rsidRPr="005105EC" w:rsidRDefault="00021B73" w:rsidP="00021B73">
      <w:pPr>
        <w:pStyle w:val="a9"/>
        <w:numPr>
          <w:ilvl w:val="0"/>
          <w:numId w:val="11"/>
        </w:numPr>
        <w:spacing w:after="80" w:line="360" w:lineRule="auto"/>
        <w:ind w:left="425" w:hanging="425"/>
        <w:contextualSpacing w:val="0"/>
        <w:jc w:val="both"/>
        <w:outlineLvl w:val="3"/>
        <w:rPr>
          <w:rFonts w:ascii="David" w:eastAsia="Calibri" w:hAnsi="David"/>
          <w:noProof w:val="0"/>
        </w:rPr>
      </w:pPr>
      <w:r w:rsidRPr="008E6C7A">
        <w:rPr>
          <w:rFonts w:ascii="David" w:eastAsia="Calibri" w:hAnsi="David" w:hint="cs"/>
          <w:b/>
          <w:bCs/>
          <w:noProof w:val="0"/>
          <w:sz w:val="28"/>
          <w:szCs w:val="28"/>
          <w:u w:val="single"/>
          <w:rtl/>
        </w:rPr>
        <w:t>חוות דעת המומחה</w:t>
      </w:r>
      <w:r w:rsidRPr="005105EC">
        <w:rPr>
          <w:rFonts w:eastAsia="Calibri" w:hint="cs"/>
          <w:rtl/>
        </w:rPr>
        <w:t xml:space="preserve"> </w:t>
      </w:r>
      <w:r w:rsidRPr="005105EC">
        <w:rPr>
          <w:rFonts w:eastAsia="Calibri"/>
          <w:rtl/>
        </w:rPr>
        <w:t>–</w:t>
      </w:r>
      <w:r w:rsidRPr="005105EC">
        <w:rPr>
          <w:rFonts w:eastAsia="Calibri" w:hint="cs"/>
          <w:rtl/>
        </w:rPr>
        <w:t xml:space="preserve"> כאמור, כתב ההתנגדות כלל טענה להיעדר כשרות. לצורך בירור הטענה מונה מומחה. לאחר שבחן המומחה את החומר שהוצג לפניו קבע כי </w:t>
      </w:r>
      <w:r w:rsidRPr="005105EC">
        <w:rPr>
          <w:rFonts w:eastAsia="Calibri" w:hint="cs"/>
          <w:b/>
          <w:bCs/>
          <w:rtl/>
        </w:rPr>
        <w:t>אין עדות לכך שבמועד עריכת הצוואה המנוחה לא הייתה כשירה לעריכתה</w:t>
      </w:r>
      <w:r>
        <w:rPr>
          <w:rFonts w:eastAsia="Calibri" w:hint="cs"/>
          <w:rtl/>
        </w:rPr>
        <w:t xml:space="preserve">. לשם הנוחות </w:t>
      </w:r>
      <w:r w:rsidRPr="005105EC">
        <w:rPr>
          <w:rFonts w:eastAsia="Calibri" w:hint="cs"/>
          <w:rtl/>
        </w:rPr>
        <w:t xml:space="preserve">להלן </w:t>
      </w:r>
      <w:r>
        <w:rPr>
          <w:rFonts w:eastAsia="Calibri" w:hint="cs"/>
          <w:rtl/>
        </w:rPr>
        <w:t xml:space="preserve">העתק </w:t>
      </w:r>
      <w:r w:rsidRPr="005105EC">
        <w:rPr>
          <w:rFonts w:eastAsia="Calibri" w:hint="cs"/>
          <w:rtl/>
        </w:rPr>
        <w:t xml:space="preserve">מסקנתו </w:t>
      </w:r>
      <w:r w:rsidRPr="005105EC">
        <w:rPr>
          <w:rFonts w:ascii="David" w:eastAsia="Calibri" w:hAnsi="David" w:hint="cs"/>
          <w:noProof w:val="0"/>
          <w:rtl/>
        </w:rPr>
        <w:t>(עמ' 12 לחוות הדעת):</w:t>
      </w:r>
    </w:p>
    <w:p w:rsidR="00021B73" w:rsidRPr="002B4F35" w:rsidRDefault="00021B73" w:rsidP="00021B73">
      <w:pPr>
        <w:pStyle w:val="a9"/>
        <w:spacing w:after="80" w:line="360" w:lineRule="auto"/>
        <w:ind w:left="425"/>
        <w:contextualSpacing w:val="0"/>
        <w:jc w:val="both"/>
        <w:outlineLvl w:val="3"/>
        <w:rPr>
          <w:rFonts w:ascii="David" w:eastAsia="Calibri" w:hAnsi="David"/>
          <w:noProof w:val="0"/>
        </w:rPr>
      </w:pPr>
      <w:r w:rsidRPr="00A85130">
        <w:rPr>
          <w:rFonts w:ascii="David" w:eastAsia="Calibri" w:hAnsi="David"/>
          <w:rtl/>
        </w:rPr>
        <w:drawing>
          <wp:inline distT="0" distB="0" distL="0" distR="0" wp14:anchorId="7FED05A6" wp14:editId="42FEB94D">
            <wp:extent cx="4791075" cy="866775"/>
            <wp:effectExtent l="0" t="0" r="9525" b="9525"/>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791075" cy="866775"/>
                    </a:xfrm>
                    <a:prstGeom prst="rect">
                      <a:avLst/>
                    </a:prstGeom>
                    <a:noFill/>
                    <a:ln>
                      <a:noFill/>
                    </a:ln>
                  </pic:spPr>
                </pic:pic>
              </a:graphicData>
            </a:graphic>
          </wp:inline>
        </w:drawing>
      </w:r>
    </w:p>
    <w:p w:rsidR="00021B73" w:rsidRDefault="00021B73" w:rsidP="00021B73">
      <w:pPr>
        <w:pStyle w:val="a9"/>
        <w:spacing w:after="160" w:line="360" w:lineRule="auto"/>
        <w:ind w:left="425"/>
        <w:contextualSpacing w:val="0"/>
        <w:jc w:val="both"/>
        <w:outlineLvl w:val="3"/>
        <w:rPr>
          <w:rFonts w:ascii="David" w:eastAsia="Calibri" w:hAnsi="David"/>
          <w:noProof w:val="0"/>
          <w:rtl/>
        </w:rPr>
      </w:pPr>
      <w:r>
        <w:rPr>
          <w:rFonts w:ascii="David" w:eastAsia="Calibri" w:hAnsi="David" w:hint="cs"/>
          <w:rtl/>
        </w:rPr>
        <mc:AlternateContent>
          <mc:Choice Requires="wps">
            <w:drawing>
              <wp:anchor distT="0" distB="0" distL="114300" distR="114300" simplePos="0" relativeHeight="251665408" behindDoc="0" locked="0" layoutInCell="1" allowOverlap="1" wp14:anchorId="41178C86" wp14:editId="3F76CA72">
                <wp:simplePos x="0" y="0"/>
                <wp:positionH relativeFrom="column">
                  <wp:posOffset>1041028</wp:posOffset>
                </wp:positionH>
                <wp:positionV relativeFrom="paragraph">
                  <wp:posOffset>502021</wp:posOffset>
                </wp:positionV>
                <wp:extent cx="4132053" cy="232626"/>
                <wp:effectExtent l="0" t="0" r="20955" b="15240"/>
                <wp:wrapNone/>
                <wp:docPr id="34" name="מלבן מעוגל 34"/>
                <wp:cNvGraphicFramePr/>
                <a:graphic xmlns:a="http://schemas.openxmlformats.org/drawingml/2006/main">
                  <a:graphicData uri="http://schemas.microsoft.com/office/word/2010/wordprocessingShape">
                    <wps:wsp>
                      <wps:cNvSpPr/>
                      <wps:spPr>
                        <a:xfrm>
                          <a:off x="0" y="0"/>
                          <a:ext cx="4132053" cy="232626"/>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D38D0D" id="מלבן מעוגל 34" o:spid="_x0000_s1026" style="position:absolute;left:0;text-align:left;margin-left:81.95pt;margin-top:39.55pt;width:325.35pt;height:18.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" fillcolor="#4f81bd [3204]" strokecolor="#243f60 [1604]" strokeweight="2pt">
                <v:fill opacity="19789f"/>
              </v:roundrect>
            </w:pict>
          </mc:Fallback>
        </mc:AlternateContent>
      </w:r>
      <w:r>
        <w:rPr>
          <w:rFonts w:ascii="David" w:eastAsia="Calibri" w:hAnsi="David" w:hint="cs"/>
          <w:noProof w:val="0"/>
          <w:rtl/>
        </w:rPr>
        <w:t xml:space="preserve">בעקבות חוות הדעת הודיעה המתנגדת, כי אינה עומדת על טענתה כי המנוחה לא הייתה כשירה לערוך את הצוואה במועד עריכתה. </w:t>
      </w:r>
    </w:p>
    <w:p w:rsidR="00021B73" w:rsidRPr="005105EC" w:rsidRDefault="00021B73" w:rsidP="00021B73">
      <w:pPr>
        <w:pStyle w:val="a9"/>
        <w:spacing w:after="240" w:line="360" w:lineRule="auto"/>
        <w:ind w:left="0" w:firstLine="425"/>
        <w:contextualSpacing w:val="0"/>
        <w:jc w:val="both"/>
        <w:outlineLvl w:val="3"/>
        <w:rPr>
          <w:rFonts w:ascii="David" w:eastAsia="Calibri" w:hAnsi="David"/>
          <w:b/>
          <w:bCs/>
          <w:noProof w:val="0"/>
        </w:rPr>
      </w:pPr>
      <w:r>
        <w:rPr>
          <w:rFonts w:ascii="David" w:eastAsia="Calibri" w:hAnsi="David" w:hint="cs"/>
          <w:b/>
          <w:bCs/>
          <w:noProof w:val="0"/>
          <w:rtl/>
        </w:rPr>
        <w:t xml:space="preserve">התוצאה </w:t>
      </w:r>
      <w:r>
        <w:rPr>
          <w:rFonts w:ascii="David" w:eastAsia="Calibri" w:hAnsi="David"/>
          <w:b/>
          <w:bCs/>
          <w:noProof w:val="0"/>
          <w:rtl/>
        </w:rPr>
        <w:t>–</w:t>
      </w:r>
      <w:r>
        <w:rPr>
          <w:rFonts w:ascii="David" w:eastAsia="Calibri" w:hAnsi="David" w:hint="cs"/>
          <w:b/>
          <w:bCs/>
          <w:noProof w:val="0"/>
          <w:rtl/>
        </w:rPr>
        <w:t xml:space="preserve"> </w:t>
      </w:r>
      <w:r w:rsidRPr="00F374B6">
        <w:rPr>
          <w:rFonts w:ascii="David" w:eastAsia="Calibri" w:hAnsi="David" w:hint="cs"/>
          <w:b/>
          <w:bCs/>
          <w:noProof w:val="0"/>
          <w:rtl/>
        </w:rPr>
        <w:t xml:space="preserve">במועד עריכת הצוואה הייתה המבקשת כשירה לערוך צוואה. </w:t>
      </w:r>
    </w:p>
    <w:p w:rsidR="00021B73" w:rsidRPr="00883242" w:rsidRDefault="00021B73" w:rsidP="00021B73">
      <w:pPr>
        <w:pStyle w:val="a9"/>
        <w:numPr>
          <w:ilvl w:val="0"/>
          <w:numId w:val="11"/>
        </w:numPr>
        <w:spacing w:after="240" w:line="360" w:lineRule="auto"/>
        <w:ind w:left="425" w:hanging="425"/>
        <w:contextualSpacing w:val="0"/>
        <w:jc w:val="both"/>
        <w:outlineLvl w:val="3"/>
        <w:rPr>
          <w:rFonts w:ascii="David" w:eastAsia="Calibri" w:hAnsi="David"/>
          <w:noProof w:val="0"/>
        </w:rPr>
      </w:pPr>
      <w:r w:rsidRPr="0068167E">
        <w:rPr>
          <w:rFonts w:ascii="David" w:eastAsia="Calibri" w:hAnsi="David" w:hint="cs"/>
          <w:b/>
          <w:bCs/>
          <w:noProof w:val="0"/>
          <w:sz w:val="28"/>
          <w:szCs w:val="28"/>
          <w:u w:val="single"/>
          <w:rtl/>
        </w:rPr>
        <w:lastRenderedPageBreak/>
        <w:t>חתימת המנוחה על הצוואה</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אין חולק שהמנוחה היא שחתמה על הצוואה ביום 22.10.2013; חתימת המנוחה מופיעה על גבי כל אחד מעמודי הצוואה (שני עמודים); המנוחה חתמה על המסמך שכותרתו "צוואה" ואף בסעיף 1 לצוואה נכתב, כי צוואה זו מבטלת כל צוואה קודמת שנעשתה ככל שנעשתה </w:t>
      </w:r>
      <w:r>
        <w:rPr>
          <w:rFonts w:ascii="David" w:eastAsia="Calibri" w:hAnsi="David"/>
          <w:noProof w:val="0"/>
          <w:rtl/>
        </w:rPr>
        <w:t>–</w:t>
      </w:r>
      <w:r>
        <w:rPr>
          <w:rFonts w:ascii="David" w:eastAsia="Calibri" w:hAnsi="David" w:hint="cs"/>
          <w:noProof w:val="0"/>
          <w:rtl/>
        </w:rPr>
        <w:t xml:space="preserve"> למקרא המסמך ברי, שהמדובר בצוואה וכי המנוחה הבינה את מהות המסמך אותו ערכה; הצוואה נחתמה לפני שני עדים, שהם עורכי דין במקצועם.</w:t>
      </w:r>
    </w:p>
    <w:p w:rsidR="00021B73" w:rsidRDefault="00021B73" w:rsidP="00021B73">
      <w:pPr>
        <w:pStyle w:val="a9"/>
        <w:numPr>
          <w:ilvl w:val="0"/>
          <w:numId w:val="11"/>
        </w:numPr>
        <w:spacing w:after="240" w:line="360" w:lineRule="auto"/>
        <w:ind w:left="425" w:hanging="425"/>
        <w:contextualSpacing w:val="0"/>
        <w:jc w:val="both"/>
        <w:outlineLvl w:val="3"/>
        <w:rPr>
          <w:rFonts w:ascii="David" w:eastAsia="Calibri" w:hAnsi="David"/>
          <w:noProof w:val="0"/>
        </w:rPr>
      </w:pPr>
      <w:r w:rsidRPr="0068167E">
        <w:rPr>
          <w:rFonts w:ascii="David" w:eastAsia="Calibri" w:hAnsi="David" w:hint="cs"/>
          <w:b/>
          <w:bCs/>
          <w:noProof w:val="0"/>
          <w:sz w:val="28"/>
          <w:szCs w:val="28"/>
          <w:u w:val="single"/>
          <w:rtl/>
        </w:rPr>
        <w:t>אישור העדים</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כאמור, לא צוין באישור העדים כי המנוחה הצהירה בפניהם שזו צוואתה. עם זאת, אישור העדים כולל את התרשמותם בזמן אמת, שלפיה המנוחה הבינה היטב את תוכנה של הצוואה וחתמה על הצוואה מרצונה כשהיא בדעה צלולה.</w:t>
      </w:r>
    </w:p>
    <w:p w:rsidR="00021B73" w:rsidRDefault="00021B73" w:rsidP="00D97E68">
      <w:pPr>
        <w:pStyle w:val="a9"/>
        <w:numPr>
          <w:ilvl w:val="0"/>
          <w:numId w:val="11"/>
        </w:numPr>
        <w:spacing w:after="120" w:line="360" w:lineRule="auto"/>
        <w:ind w:left="425" w:hanging="425"/>
        <w:contextualSpacing w:val="0"/>
        <w:jc w:val="both"/>
        <w:outlineLvl w:val="3"/>
        <w:rPr>
          <w:rFonts w:ascii="David" w:eastAsia="Calibri" w:hAnsi="David"/>
          <w:noProof w:val="0"/>
        </w:rPr>
      </w:pPr>
      <w:r w:rsidRPr="002C330D">
        <w:rPr>
          <w:rFonts w:ascii="David" w:eastAsia="Calibri" w:hAnsi="David" w:hint="cs"/>
          <w:b/>
          <w:bCs/>
          <w:noProof w:val="0"/>
          <w:sz w:val="28"/>
          <w:szCs w:val="28"/>
          <w:u w:val="single"/>
          <w:rtl/>
        </w:rPr>
        <w:t>עדויות העדים לצוואה</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העדים </w:t>
      </w:r>
      <w:r>
        <w:rPr>
          <w:rFonts w:ascii="Arial" w:eastAsia="Calibri" w:hAnsi="Arial" w:hint="cs"/>
          <w:noProof w:val="0"/>
          <w:rtl/>
        </w:rPr>
        <w:t xml:space="preserve">לצוואה, עו"ד </w:t>
      </w:r>
      <w:r w:rsidR="00D97E68">
        <w:rPr>
          <w:rFonts w:ascii="Arial" w:eastAsia="Calibri" w:hAnsi="Arial" w:hint="cs"/>
          <w:noProof w:val="0"/>
          <w:rtl/>
        </w:rPr>
        <w:t>אל'</w:t>
      </w:r>
      <w:r>
        <w:rPr>
          <w:rFonts w:ascii="Arial" w:eastAsia="Calibri" w:hAnsi="Arial" w:hint="cs"/>
          <w:noProof w:val="0"/>
          <w:rtl/>
        </w:rPr>
        <w:t xml:space="preserve"> ועו"ד ש</w:t>
      </w:r>
      <w:r w:rsidR="00D97E68">
        <w:rPr>
          <w:rFonts w:ascii="Arial" w:eastAsia="Calibri" w:hAnsi="Arial" w:hint="cs"/>
          <w:noProof w:val="0"/>
          <w:rtl/>
        </w:rPr>
        <w:t xml:space="preserve">' </w:t>
      </w:r>
      <w:r>
        <w:rPr>
          <w:rFonts w:ascii="Arial" w:eastAsia="Calibri" w:hAnsi="Arial" w:hint="cs"/>
          <w:noProof w:val="0"/>
          <w:rtl/>
        </w:rPr>
        <w:t>, שגם ערכה את הצוואה</w:t>
      </w:r>
      <w:r>
        <w:rPr>
          <w:rFonts w:ascii="David" w:eastAsia="Calibri" w:hAnsi="David" w:hint="cs"/>
          <w:noProof w:val="0"/>
          <w:rtl/>
        </w:rPr>
        <w:t>, הוזמנו למתן עדות מטעם המתנגדת. יוער כי העדים לצוואה עבדו במועד הרלוונטי במשרדו של עורך הדין אי</w:t>
      </w:r>
      <w:r w:rsidR="00D97E68">
        <w:rPr>
          <w:rFonts w:ascii="David" w:eastAsia="Calibri" w:hAnsi="David" w:hint="cs"/>
          <w:noProof w:val="0"/>
          <w:rtl/>
        </w:rPr>
        <w:t>'</w:t>
      </w:r>
      <w:r>
        <w:rPr>
          <w:rFonts w:ascii="David" w:eastAsia="Calibri" w:hAnsi="David" w:hint="cs"/>
          <w:noProof w:val="0"/>
          <w:rtl/>
        </w:rPr>
        <w:t xml:space="preserve"> (להלן: </w:t>
      </w:r>
      <w:r w:rsidRPr="0047388A">
        <w:rPr>
          <w:rFonts w:ascii="David" w:eastAsia="Calibri" w:hAnsi="David" w:hint="cs"/>
          <w:b/>
          <w:bCs/>
          <w:noProof w:val="0"/>
          <w:rtl/>
        </w:rPr>
        <w:t xml:space="preserve">"עו"ד </w:t>
      </w:r>
      <w:r w:rsidR="00D97E68">
        <w:rPr>
          <w:rFonts w:ascii="David" w:eastAsia="Calibri" w:hAnsi="David" w:hint="cs"/>
          <w:b/>
          <w:bCs/>
          <w:noProof w:val="0"/>
          <w:rtl/>
        </w:rPr>
        <w:t xml:space="preserve">אי' </w:t>
      </w:r>
      <w:r w:rsidRPr="0047388A">
        <w:rPr>
          <w:rFonts w:ascii="David" w:eastAsia="Calibri" w:hAnsi="David" w:hint="cs"/>
          <w:b/>
          <w:bCs/>
          <w:noProof w:val="0"/>
          <w:rtl/>
        </w:rPr>
        <w:t>"</w:t>
      </w:r>
      <w:r>
        <w:rPr>
          <w:rFonts w:ascii="David" w:eastAsia="Calibri" w:hAnsi="David" w:hint="cs"/>
          <w:noProof w:val="0"/>
          <w:rtl/>
        </w:rPr>
        <w:t>).</w:t>
      </w:r>
    </w:p>
    <w:p w:rsidR="00021B73" w:rsidRDefault="00021B73" w:rsidP="00D97E68">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במהלך עדותם עלה, כי הם אינם זוכרים את המנוחה או את נסיבות מעמד עריכת הצוואה. הצוואה נערכה כעשור קודם למתן עדותם, ובשים לב לכך שהמנוחה לא הייתה לקוחה קבועה של השניים, סביר שהעדים אינם זוכרים את נסיבות עריכת הצוואה (ראו עדותו של עו"ד אל</w:t>
      </w:r>
      <w:r w:rsidR="00D97E68">
        <w:rPr>
          <w:rFonts w:ascii="David" w:eastAsia="Calibri" w:hAnsi="David" w:hint="cs"/>
          <w:noProof w:val="0"/>
          <w:rtl/>
        </w:rPr>
        <w:t>'</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פרוטוקול הדיון בעמ' 7, שו' 6 </w:t>
      </w:r>
      <w:r>
        <w:rPr>
          <w:rFonts w:ascii="David" w:eastAsia="Calibri" w:hAnsi="David"/>
          <w:noProof w:val="0"/>
          <w:rtl/>
        </w:rPr>
        <w:t>–</w:t>
      </w:r>
      <w:r>
        <w:rPr>
          <w:rFonts w:ascii="David" w:eastAsia="Calibri" w:hAnsi="David" w:hint="cs"/>
          <w:noProof w:val="0"/>
          <w:rtl/>
        </w:rPr>
        <w:t xml:space="preserve"> עמ' 10, שו' 11; עדותה על עו"ד ש</w:t>
      </w:r>
      <w:r w:rsidR="00D97E68">
        <w:rPr>
          <w:rFonts w:ascii="David" w:eastAsia="Calibri" w:hAnsi="David" w:hint="cs"/>
          <w:noProof w:val="0"/>
          <w:rtl/>
        </w:rPr>
        <w:t>'</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פרוטוקול הדיון בעמ' 12, שו' 8-2; עמ' 13, שו' 8-1; עמ' 16, שו' 22-14; עמ' 21, שו' 21; עמ' 22, שו' 19).</w:t>
      </w:r>
    </w:p>
    <w:p w:rsidR="00021B73" w:rsidRPr="00F32D55" w:rsidRDefault="00021B73" w:rsidP="00D97E68">
      <w:pPr>
        <w:pStyle w:val="a9"/>
        <w:spacing w:after="240" w:line="360" w:lineRule="auto"/>
        <w:ind w:left="425"/>
        <w:contextualSpacing w:val="0"/>
        <w:jc w:val="both"/>
        <w:outlineLvl w:val="3"/>
        <w:rPr>
          <w:rFonts w:ascii="David" w:eastAsia="Calibri" w:hAnsi="David"/>
          <w:noProof w:val="0"/>
        </w:rPr>
      </w:pPr>
      <w:r>
        <w:rPr>
          <w:rFonts w:ascii="David" w:eastAsia="Calibri" w:hAnsi="David" w:hint="cs"/>
          <w:noProof w:val="0"/>
          <w:rtl/>
        </w:rPr>
        <w:t>עו"ד אל</w:t>
      </w:r>
      <w:r w:rsidR="00D97E68">
        <w:rPr>
          <w:rFonts w:ascii="David" w:eastAsia="Calibri" w:hAnsi="David" w:hint="cs"/>
          <w:noProof w:val="0"/>
          <w:rtl/>
        </w:rPr>
        <w:t>'</w:t>
      </w:r>
      <w:r>
        <w:rPr>
          <w:rFonts w:ascii="David" w:eastAsia="Calibri" w:hAnsi="David" w:hint="cs"/>
          <w:noProof w:val="0"/>
          <w:rtl/>
        </w:rPr>
        <w:t xml:space="preserve"> העיד כי כאשר הוא משמש כעד לצוואה הוא נוהג לשוחח עם המצווה ולהתרשם שהוא מבין את תוכן הצוואה (פרוטוקול הדיון בעמ' 9, שו' 13-8). כך גם עו"ד ש</w:t>
      </w:r>
      <w:r w:rsidR="00D97E68">
        <w:rPr>
          <w:rFonts w:ascii="David" w:eastAsia="Calibri" w:hAnsi="David" w:hint="cs"/>
          <w:noProof w:val="0"/>
          <w:rtl/>
        </w:rPr>
        <w:t>'</w:t>
      </w:r>
      <w:r>
        <w:rPr>
          <w:rFonts w:ascii="David" w:eastAsia="Calibri" w:hAnsi="David" w:hint="cs"/>
          <w:noProof w:val="0"/>
          <w:rtl/>
        </w:rPr>
        <w:t xml:space="preserve"> אישרה כי לו הייתה חשה, שהמנוחה אינה מבינה את הנעשה במועד עריכת הצוואה בוודאי שלא הייתה מסכימה להחתימה על הצוואה, ולו היה לה ספק בנוגע למצבה הרפואי הייתה מבקשת ממנה תעודת רופא </w:t>
      </w:r>
      <w:r>
        <w:rPr>
          <w:rFonts w:ascii="David" w:eastAsia="Calibri" w:hAnsi="David"/>
          <w:noProof w:val="0"/>
          <w:rtl/>
        </w:rPr>
        <w:t>–</w:t>
      </w:r>
      <w:r>
        <w:rPr>
          <w:rFonts w:ascii="David" w:eastAsia="Calibri" w:hAnsi="David" w:hint="cs"/>
          <w:noProof w:val="0"/>
          <w:rtl/>
        </w:rPr>
        <w:t xml:space="preserve"> דבר שלא נדרש במקרה דנן (פרוטוקול הדיון בעמ' 15, שו' 7-4; עמ' 18, שו' 3 </w:t>
      </w:r>
      <w:r>
        <w:rPr>
          <w:rFonts w:ascii="David" w:eastAsia="Calibri" w:hAnsi="David"/>
          <w:noProof w:val="0"/>
          <w:rtl/>
        </w:rPr>
        <w:t>–</w:t>
      </w:r>
      <w:r>
        <w:rPr>
          <w:rFonts w:ascii="David" w:eastAsia="Calibri" w:hAnsi="David" w:hint="cs"/>
          <w:noProof w:val="0"/>
          <w:rtl/>
        </w:rPr>
        <w:t xml:space="preserve"> עמ' 20, שו' 6; עמ' 24, שו' 20-15).</w:t>
      </w:r>
    </w:p>
    <w:p w:rsidR="00021B73" w:rsidRPr="004451E1" w:rsidRDefault="00021B73" w:rsidP="00021B73">
      <w:pPr>
        <w:pStyle w:val="a9"/>
        <w:numPr>
          <w:ilvl w:val="0"/>
          <w:numId w:val="11"/>
        </w:numPr>
        <w:spacing w:after="120" w:line="360" w:lineRule="auto"/>
        <w:ind w:left="425" w:hanging="425"/>
        <w:contextualSpacing w:val="0"/>
        <w:jc w:val="both"/>
        <w:outlineLvl w:val="3"/>
        <w:rPr>
          <w:rFonts w:ascii="David" w:eastAsia="Calibri" w:hAnsi="David"/>
          <w:noProof w:val="0"/>
        </w:rPr>
      </w:pPr>
      <w:r>
        <w:rPr>
          <w:rFonts w:ascii="David" w:eastAsia="Calibri" w:hAnsi="David" w:hint="cs"/>
          <w:b/>
          <w:bCs/>
          <w:noProof w:val="0"/>
          <w:sz w:val="28"/>
          <w:szCs w:val="28"/>
          <w:u w:val="single"/>
          <w:rtl/>
        </w:rPr>
        <w:t>"הגיונה של צוואה" ו</w:t>
      </w:r>
      <w:r w:rsidRPr="00BA6770">
        <w:rPr>
          <w:rFonts w:ascii="David" w:eastAsia="Calibri" w:hAnsi="David" w:hint="cs"/>
          <w:b/>
          <w:bCs/>
          <w:noProof w:val="0"/>
          <w:sz w:val="28"/>
          <w:szCs w:val="28"/>
          <w:u w:val="single"/>
          <w:rtl/>
        </w:rPr>
        <w:t xml:space="preserve">דברי ההסבר </w:t>
      </w:r>
      <w:r>
        <w:rPr>
          <w:rFonts w:ascii="David" w:eastAsia="Calibri" w:hAnsi="David" w:hint="cs"/>
          <w:b/>
          <w:bCs/>
          <w:noProof w:val="0"/>
          <w:sz w:val="28"/>
          <w:szCs w:val="28"/>
          <w:u w:val="single"/>
          <w:rtl/>
        </w:rPr>
        <w:t>בצידה</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w:t>
      </w:r>
      <w:r w:rsidRPr="004451E1">
        <w:rPr>
          <w:rFonts w:ascii="David" w:hAnsi="David" w:hint="cs"/>
          <w:noProof w:val="0"/>
          <w:rtl/>
        </w:rPr>
        <w:t>בפסיקה נקבע</w:t>
      </w:r>
      <w:r>
        <w:rPr>
          <w:rFonts w:ascii="David" w:hAnsi="David" w:hint="cs"/>
          <w:noProof w:val="0"/>
          <w:rtl/>
        </w:rPr>
        <w:t>,</w:t>
      </w:r>
      <w:r w:rsidRPr="004451E1">
        <w:rPr>
          <w:rFonts w:ascii="David" w:hAnsi="David" w:hint="cs"/>
          <w:noProof w:val="0"/>
          <w:rtl/>
        </w:rPr>
        <w:t xml:space="preserve"> כי לצורך בחינת אמיתות הצוואה, עשוי בית המשפט להידרש לבחינת שאלת הגיונה של הצוואה. לצורך בדיקת מבחן </w:t>
      </w:r>
      <w:r w:rsidRPr="004451E1">
        <w:rPr>
          <w:rFonts w:ascii="David" w:hAnsi="David"/>
          <w:noProof w:val="0"/>
          <w:rtl/>
        </w:rPr>
        <w:t>"</w:t>
      </w:r>
      <w:r w:rsidRPr="00C01305">
        <w:rPr>
          <w:rFonts w:ascii="David" w:hAnsi="David"/>
          <w:b/>
          <w:bCs/>
          <w:noProof w:val="0"/>
          <w:rtl/>
        </w:rPr>
        <w:t>הגיונה של הצוואה</w:t>
      </w:r>
      <w:r w:rsidRPr="004451E1">
        <w:rPr>
          <w:rFonts w:ascii="David" w:hAnsi="David"/>
          <w:noProof w:val="0"/>
          <w:rtl/>
        </w:rPr>
        <w:t xml:space="preserve">", </w:t>
      </w:r>
      <w:r w:rsidRPr="004451E1">
        <w:rPr>
          <w:rFonts w:ascii="David" w:hAnsi="David" w:hint="cs"/>
          <w:noProof w:val="0"/>
          <w:rtl/>
        </w:rPr>
        <w:t>על בית המשפט לנסות ולהשיב על השאלה</w:t>
      </w:r>
      <w:r>
        <w:rPr>
          <w:rFonts w:ascii="David" w:hAnsi="David" w:hint="cs"/>
          <w:noProof w:val="0"/>
          <w:rtl/>
        </w:rPr>
        <w:t xml:space="preserve"> </w:t>
      </w:r>
      <w:r>
        <w:rPr>
          <w:rFonts w:ascii="David" w:hAnsi="David"/>
          <w:noProof w:val="0"/>
          <w:rtl/>
        </w:rPr>
        <w:t>–</w:t>
      </w:r>
      <w:r>
        <w:rPr>
          <w:rFonts w:ascii="David" w:hAnsi="David" w:hint="cs"/>
          <w:noProof w:val="0"/>
          <w:rtl/>
        </w:rPr>
        <w:t xml:space="preserve"> </w:t>
      </w:r>
      <w:r w:rsidRPr="004451E1">
        <w:rPr>
          <w:rFonts w:ascii="David" w:hAnsi="David" w:hint="cs"/>
          <w:noProof w:val="0"/>
          <w:rtl/>
        </w:rPr>
        <w:t>האם תוכן הצוואה הוא סביר על פי הבנתו את הגיונה של המנוחה</w:t>
      </w:r>
      <w:r>
        <w:rPr>
          <w:rFonts w:ascii="David" w:hAnsi="David" w:hint="cs"/>
          <w:noProof w:val="0"/>
          <w:rtl/>
        </w:rPr>
        <w:t>,</w:t>
      </w:r>
      <w:r w:rsidRPr="004451E1">
        <w:rPr>
          <w:rFonts w:ascii="David" w:hAnsi="David" w:hint="cs"/>
          <w:noProof w:val="0"/>
          <w:rtl/>
        </w:rPr>
        <w:t xml:space="preserve"> ו</w:t>
      </w:r>
      <w:r w:rsidRPr="004451E1">
        <w:rPr>
          <w:rFonts w:ascii="David" w:hAnsi="David"/>
          <w:noProof w:val="0"/>
          <w:rtl/>
        </w:rPr>
        <w:t xml:space="preserve">כפי שנקבע </w:t>
      </w:r>
      <w:r w:rsidRPr="004451E1">
        <w:rPr>
          <w:rFonts w:ascii="David" w:eastAsia="Calibri" w:hAnsi="David"/>
          <w:noProof w:val="0"/>
          <w:color w:val="000000" w:themeColor="text1"/>
          <w:rtl/>
        </w:rPr>
        <w:t xml:space="preserve">בדנ"א 1516/95 </w:t>
      </w:r>
      <w:r w:rsidRPr="004451E1">
        <w:rPr>
          <w:rFonts w:ascii="David" w:eastAsia="Calibri" w:hAnsi="David"/>
          <w:b/>
          <w:bCs/>
          <w:noProof w:val="0"/>
          <w:color w:val="000000" w:themeColor="text1"/>
          <w:rtl/>
        </w:rPr>
        <w:t>מרום נ' היועץ המשפטי לממשלה</w:t>
      </w:r>
      <w:r w:rsidRPr="004451E1">
        <w:rPr>
          <w:rFonts w:ascii="David" w:eastAsia="Calibri" w:hAnsi="David"/>
          <w:noProof w:val="0"/>
          <w:color w:val="000000" w:themeColor="text1"/>
          <w:rtl/>
        </w:rPr>
        <w:t>, פ"ד נב(2) 813, 844 (1998) (להלן: "</w:t>
      </w:r>
      <w:r w:rsidRPr="004451E1">
        <w:rPr>
          <w:rFonts w:ascii="David" w:eastAsia="Calibri" w:hAnsi="David"/>
          <w:b/>
          <w:bCs/>
          <w:noProof w:val="0"/>
          <w:color w:val="000000" w:themeColor="text1"/>
          <w:rtl/>
        </w:rPr>
        <w:t>עניין מרום</w:t>
      </w:r>
      <w:r w:rsidRPr="004451E1">
        <w:rPr>
          <w:rFonts w:ascii="David" w:eastAsia="Calibri" w:hAnsi="David"/>
          <w:noProof w:val="0"/>
          <w:color w:val="000000" w:themeColor="text1"/>
          <w:rtl/>
        </w:rPr>
        <w:t>")</w:t>
      </w:r>
      <w:r w:rsidRPr="004451E1">
        <w:rPr>
          <w:rFonts w:ascii="Arial" w:hAnsi="Arial"/>
          <w:b/>
          <w:bCs/>
          <w:noProof w:val="0"/>
          <w:rtl/>
        </w:rPr>
        <w:t xml:space="preserve"> </w:t>
      </w:r>
      <w:r w:rsidRPr="004451E1">
        <w:rPr>
          <w:rFonts w:ascii="Arial" w:hAnsi="Arial"/>
          <w:noProof w:val="0"/>
          <w:rtl/>
        </w:rPr>
        <w:t xml:space="preserve">כדלקמן: </w:t>
      </w:r>
    </w:p>
    <w:p w:rsidR="00021B73" w:rsidRDefault="00021B73" w:rsidP="00021B73">
      <w:pPr>
        <w:pStyle w:val="a9"/>
        <w:spacing w:after="240"/>
        <w:ind w:left="1134" w:right="1134"/>
        <w:contextualSpacing w:val="0"/>
        <w:jc w:val="both"/>
        <w:rPr>
          <w:rFonts w:ascii="Arial" w:hAnsi="Arial"/>
          <w:noProof w:val="0"/>
          <w:rtl/>
        </w:rPr>
      </w:pPr>
      <w:r>
        <w:rPr>
          <w:rFonts w:ascii="Arial" w:hAnsi="Arial"/>
          <w:b/>
          <w:bCs/>
          <w:noProof w:val="0"/>
          <w:rtl/>
        </w:rPr>
        <w:t xml:space="preserve">"צוואה אמורה לשקף את רצונו האמיתי של המצווה. לבחינת אמיתותה של הצוואה עשוי בית-המשפט להידרש לבדיקת הוראותיה באמת-מידה הגיונית. השאלה אינה אם הצוואה סבירה על-פי הבנתו של השופט, אלא אם היא סבירה על-פי הבנת השופט את הגיונו של המצווה. מן הראיות </w:t>
      </w:r>
      <w:r>
        <w:rPr>
          <w:rFonts w:ascii="Arial" w:hAnsi="Arial"/>
          <w:b/>
          <w:bCs/>
          <w:noProof w:val="0"/>
          <w:rtl/>
        </w:rPr>
        <w:lastRenderedPageBreak/>
        <w:t>הבאות לפני בית-המשפט, במסגרת הדיון בתוקפה של הצוואה, קרוב שתצטייר בפניו תמונת חייו של המצווה עובר לכתיבת הצוואה, קשריו החברתיים, ערכיו והעדפותיו; ויעלה בידו לבדוק אם הצוואה, מנקודת מבטו המשוערת של המצווה, נראית לכאורה הגיונית. תשובה חיובית לשאלה זו תחזק את ההערכה כי הצוואה משקפת את רצון המצווה</w:t>
      </w:r>
      <w:r>
        <w:rPr>
          <w:rFonts w:ascii="Arial" w:hAnsi="Arial"/>
          <w:noProof w:val="0"/>
          <w:rtl/>
        </w:rPr>
        <w:t xml:space="preserve"> .... </w:t>
      </w:r>
      <w:r>
        <w:rPr>
          <w:rFonts w:ascii="Arial" w:hAnsi="Arial"/>
          <w:b/>
          <w:bCs/>
          <w:noProof w:val="0"/>
          <w:rtl/>
        </w:rPr>
        <w:t>מנגד, כאשר תוכן הצוואה נראה בלתי סביר, יש מקום לבדוק היטב את כשרות הצוואה"</w:t>
      </w:r>
      <w:r>
        <w:rPr>
          <w:rFonts w:ascii="Arial" w:hAnsi="Arial" w:hint="cs"/>
          <w:noProof w:val="0"/>
          <w:rtl/>
        </w:rPr>
        <w:t>.</w:t>
      </w:r>
    </w:p>
    <w:p w:rsidR="00021B73" w:rsidRPr="009F1C32" w:rsidRDefault="00021B73" w:rsidP="00021B73">
      <w:pPr>
        <w:spacing w:after="120" w:line="360" w:lineRule="auto"/>
        <w:ind w:left="425"/>
        <w:jc w:val="both"/>
        <w:rPr>
          <w:rFonts w:ascii="David" w:hAnsi="David"/>
          <w:noProof w:val="0"/>
          <w:color w:val="000000"/>
        </w:rPr>
      </w:pPr>
      <w:r>
        <w:rPr>
          <w:rFonts w:ascii="David" w:hAnsi="David" w:hint="cs"/>
          <w:noProof w:val="0"/>
          <w:color w:val="000000"/>
          <w:rtl/>
        </w:rPr>
        <w:t xml:space="preserve">בענייננו, אין צורך לתור בין הראיות השונות אחר הגיונה של המנוחה בעריכתה את הצוואה. הצוואה עצמה כוללת </w:t>
      </w:r>
      <w:r w:rsidRPr="00C01305">
        <w:rPr>
          <w:rFonts w:ascii="David" w:hAnsi="David" w:hint="cs"/>
          <w:b/>
          <w:bCs/>
          <w:noProof w:val="0"/>
          <w:color w:val="000000"/>
          <w:rtl/>
        </w:rPr>
        <w:t>דברי הסבר</w:t>
      </w:r>
      <w:r>
        <w:rPr>
          <w:rFonts w:ascii="David" w:hAnsi="David" w:hint="cs"/>
          <w:noProof w:val="0"/>
          <w:color w:val="000000"/>
          <w:rtl/>
        </w:rPr>
        <w:t xml:space="preserve"> מהם ניתן ללמוד על אותו הגיון. לשם הנוחות להלן סעיף 6 לצוואה:</w:t>
      </w:r>
    </w:p>
    <w:p w:rsidR="00021B73" w:rsidRDefault="00D97E68" w:rsidP="00021B73">
      <w:pPr>
        <w:pStyle w:val="a9"/>
        <w:spacing w:after="120" w:line="360" w:lineRule="auto"/>
        <w:ind w:left="425"/>
        <w:contextualSpacing w:val="0"/>
        <w:jc w:val="both"/>
        <w:outlineLvl w:val="3"/>
        <w:rPr>
          <w:rFonts w:ascii="David" w:eastAsia="Calibri" w:hAnsi="David"/>
          <w:noProof w:val="0"/>
        </w:rPr>
      </w:pPr>
      <w:r w:rsidRPr="00C045A4">
        <w:rPr>
          <w:rFonts w:ascii="Arial" w:eastAsia="Calibri" w:hAnsi="Arial"/>
          <w:rtl/>
        </w:rPr>
        <w:drawing>
          <wp:inline distT="0" distB="0" distL="0" distR="0" wp14:anchorId="659B73AD" wp14:editId="17B1A4C4">
            <wp:extent cx="5112385" cy="1095554"/>
            <wp:effectExtent l="0" t="0" r="0" b="9525"/>
            <wp:docPr id="200" name="תמונה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 t="8406" r="5624" b="62053"/>
                    <a:stretch/>
                  </pic:blipFill>
                  <pic:spPr bwMode="auto">
                    <a:xfrm>
                      <a:off x="0" y="0"/>
                      <a:ext cx="5156248" cy="1104954"/>
                    </a:xfrm>
                    <a:prstGeom prst="rect">
                      <a:avLst/>
                    </a:prstGeom>
                    <a:ln>
                      <a:noFill/>
                    </a:ln>
                    <a:extLst>
                      <a:ext uri="{53640926-AAD7-44D8-BBD7-CCE9431645EC}">
                        <a14:shadowObscured xmlns:a14="http://schemas.microsoft.com/office/drawing/2010/main"/>
                      </a:ext>
                    </a:extLst>
                  </pic:spPr>
                </pic:pic>
              </a:graphicData>
            </a:graphic>
          </wp:inline>
        </w:drawing>
      </w:r>
    </w:p>
    <w:p w:rsidR="00021B73" w:rsidRDefault="00021B73" w:rsidP="00D97E68">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 xml:space="preserve">מדברי ההסבר עולה, כי המנוחה ראתה במבקשת ככזו שנזקקת יותר לרשת את רכושה ולסיוע כלכלי וזאת בהשוואה למתנגדת. כאן המקום להבהיר, כי עיזבונה של המנוחה כלל בעיקר דירה בעיר </w:t>
      </w:r>
      <w:r w:rsidR="00D97E68">
        <w:rPr>
          <w:rFonts w:ascii="David" w:eastAsia="Calibri" w:hAnsi="David" w:hint="cs"/>
          <w:noProof w:val="0"/>
          <w:rtl/>
        </w:rPr>
        <w:t>ב'</w:t>
      </w:r>
      <w:r>
        <w:rPr>
          <w:rFonts w:ascii="David" w:eastAsia="Calibri" w:hAnsi="David" w:hint="cs"/>
          <w:noProof w:val="0"/>
          <w:rtl/>
        </w:rPr>
        <w:t xml:space="preserve"> וסכום כסף שהופקד בחשבונות הבנק (על פי עדות המבקשת מדובר בסך של כ-100,000 ₪ </w:t>
      </w:r>
      <w:r w:rsidRPr="00D10F20">
        <w:rPr>
          <w:rFonts w:ascii="David" w:eastAsia="Calibri" w:hAnsi="David" w:hint="cs"/>
          <w:noProof w:val="0"/>
          <w:rtl/>
        </w:rPr>
        <w:t xml:space="preserve">– </w:t>
      </w:r>
      <w:r>
        <w:rPr>
          <w:rFonts w:ascii="David" w:eastAsia="Calibri" w:hAnsi="David" w:hint="cs"/>
          <w:noProof w:val="0"/>
          <w:rtl/>
        </w:rPr>
        <w:t xml:space="preserve">פרוטוקול הדיון בעמ' 123, שו' 22-17). </w:t>
      </w:r>
    </w:p>
    <w:p w:rsidR="00021B73" w:rsidRDefault="00021B73" w:rsidP="008F14F4">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לטענת המתנגדת אין ממש בדברי ההסבר, שעה שאף היא הייתה זקוקה לעזרה כלכלית. לשם הוכחת טענה זו המתנגדת לא הציגה מסמכים בנקאיים כאלה או אחרים התומכים בגרסתה זו. לשיטתה בשנת 2009 עת התגרשה מבן זוגה דאז, הייתה זקוקה לסיוע כלכלי על מנת לרכוש את מחצית הזכויות בדירתם המשותפת. המתנגדת הסבירה כי לא הייתה למנוחה האפשרות הכלכלית לסייע לה, והיא אף חששה מתגובת המבקשת לו תעשה כן. משכך נדרשה המתנגדת ליטול הלוואת משכנתה (סעיף 32 לתצהיר עדותה הראשית של המתנגדת</w:t>
      </w:r>
      <w:r w:rsidRPr="006B2007">
        <w:rPr>
          <w:rFonts w:ascii="David" w:eastAsia="Calibri" w:hAnsi="David" w:hint="cs"/>
          <w:noProof w:val="0"/>
          <w:rtl/>
        </w:rPr>
        <w:t>). בחקירת המתנגדת הובהר</w:t>
      </w:r>
      <w:r>
        <w:rPr>
          <w:rFonts w:ascii="David" w:eastAsia="Calibri" w:hAnsi="David" w:hint="cs"/>
          <w:noProof w:val="0"/>
          <w:rtl/>
        </w:rPr>
        <w:t>,</w:t>
      </w:r>
      <w:r w:rsidRPr="006B2007">
        <w:rPr>
          <w:rFonts w:ascii="David" w:eastAsia="Calibri" w:hAnsi="David" w:hint="cs"/>
          <w:noProof w:val="0"/>
          <w:rtl/>
        </w:rPr>
        <w:t xml:space="preserve"> כי למנוחה לא הייתה כלל אפשרות כלכלית לסייע אף לו רצתה, ומשכך </w:t>
      </w:r>
      <w:r>
        <w:rPr>
          <w:rFonts w:ascii="David" w:eastAsia="Calibri" w:hAnsi="David" w:hint="cs"/>
          <w:noProof w:val="0"/>
          <w:rtl/>
        </w:rPr>
        <w:t>לא מצאתי כי יש</w:t>
      </w:r>
      <w:r w:rsidRPr="006B2007">
        <w:rPr>
          <w:rFonts w:ascii="David" w:eastAsia="Calibri" w:hAnsi="David" w:hint="cs"/>
          <w:noProof w:val="0"/>
          <w:rtl/>
        </w:rPr>
        <w:t xml:space="preserve"> ממש </w:t>
      </w:r>
      <w:r>
        <w:rPr>
          <w:rFonts w:ascii="David" w:eastAsia="Calibri" w:hAnsi="David" w:hint="cs"/>
          <w:noProof w:val="0"/>
          <w:rtl/>
        </w:rPr>
        <w:t xml:space="preserve">בטענה כי למנוחה היה חשש </w:t>
      </w:r>
      <w:r w:rsidRPr="006B2007">
        <w:rPr>
          <w:rFonts w:ascii="David" w:eastAsia="Calibri" w:hAnsi="David" w:hint="cs"/>
          <w:noProof w:val="0"/>
          <w:rtl/>
        </w:rPr>
        <w:t>לסייע בשל תגובתה</w:t>
      </w:r>
      <w:r>
        <w:rPr>
          <w:rFonts w:ascii="David" w:eastAsia="Calibri" w:hAnsi="David" w:hint="cs"/>
          <w:noProof w:val="0"/>
          <w:rtl/>
        </w:rPr>
        <w:t xml:space="preserve"> האפשרית</w:t>
      </w:r>
      <w:r w:rsidRPr="006B2007">
        <w:rPr>
          <w:rFonts w:ascii="David" w:eastAsia="Calibri" w:hAnsi="David" w:hint="cs"/>
          <w:noProof w:val="0"/>
          <w:rtl/>
        </w:rPr>
        <w:t xml:space="preserve"> של המבקשת (פרוטוקול הדיון בעמ' 61, שו' 19-5 ; עמ' 72, שו' 16 </w:t>
      </w:r>
      <w:r w:rsidRPr="006B2007">
        <w:rPr>
          <w:rFonts w:ascii="David" w:eastAsia="Calibri" w:hAnsi="David"/>
          <w:noProof w:val="0"/>
          <w:rtl/>
        </w:rPr>
        <w:t>–</w:t>
      </w:r>
      <w:r w:rsidRPr="006B2007">
        <w:rPr>
          <w:rFonts w:ascii="David" w:eastAsia="Calibri" w:hAnsi="David" w:hint="cs"/>
          <w:noProof w:val="0"/>
          <w:rtl/>
        </w:rPr>
        <w:t xml:space="preserve"> עמ' 74, שו' 15).</w:t>
      </w:r>
      <w:r>
        <w:rPr>
          <w:rFonts w:ascii="David" w:eastAsia="Calibri" w:hAnsi="David" w:hint="cs"/>
          <w:noProof w:val="0"/>
          <w:rtl/>
        </w:rPr>
        <w:t xml:space="preserve"> </w:t>
      </w:r>
    </w:p>
    <w:p w:rsidR="00021B73" w:rsidRDefault="00021B73" w:rsidP="00021B73">
      <w:pPr>
        <w:pStyle w:val="a9"/>
        <w:spacing w:after="240" w:line="360" w:lineRule="auto"/>
        <w:ind w:left="425"/>
        <w:contextualSpacing w:val="0"/>
        <w:jc w:val="both"/>
        <w:outlineLvl w:val="3"/>
        <w:rPr>
          <w:rFonts w:ascii="David" w:eastAsia="Calibri" w:hAnsi="David"/>
          <w:noProof w:val="0"/>
          <w:rtl/>
        </w:rPr>
      </w:pPr>
      <w:r>
        <w:rPr>
          <w:rFonts w:ascii="David" w:eastAsia="Calibri" w:hAnsi="David" w:hint="cs"/>
          <w:noProof w:val="0"/>
          <w:rtl/>
        </w:rPr>
        <w:t xml:space="preserve">הנה כי כן, במועד עריכת הצוואה למתנגדת הייתה דירה בבעלותה אשר שילמה עליה החזרי משכנתה במשך כ-5 שנים. בחקירתה התברר שאת הלוואת המשכנתה נטלה כבר בשנת 2008 (פרוטוקול הדיון בעמ' 75, שו' 1 </w:t>
      </w:r>
      <w:r>
        <w:rPr>
          <w:rFonts w:ascii="David" w:eastAsia="Calibri" w:hAnsi="David"/>
          <w:noProof w:val="0"/>
          <w:rtl/>
        </w:rPr>
        <w:t>–</w:t>
      </w:r>
      <w:r>
        <w:rPr>
          <w:rFonts w:ascii="David" w:eastAsia="Calibri" w:hAnsi="David" w:hint="cs"/>
          <w:noProof w:val="0"/>
          <w:rtl/>
        </w:rPr>
        <w:t xml:space="preserve"> עמ' 76, שו' 17; ראו גם סעיפים 47-43 לתצהיר עדותה הראשית של המבקשת). </w:t>
      </w:r>
    </w:p>
    <w:p w:rsidR="00021B73" w:rsidRDefault="00021B73" w:rsidP="00021B73">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lastRenderedPageBreak/>
        <w:t>המתנגדת הצהירה כי היא הבת שהייתה מושא לגאווה בענייני המנוחה, בהיותה אשת משפחה ובעלת עבודה מסודרת. לעומתה המבקשת נהגה להחליף עבודות ולא הצליחה להתמיד באף מערכת זוגית עד שלבסוף הרתה לאדם נשוי ומבוגר ונאלצה לתבוע ממנו מזונות ורכוש (סעיף 30 לתצהיר עדותה הראשית של המתנגדת).</w:t>
      </w:r>
    </w:p>
    <w:p w:rsidR="00021B73" w:rsidRDefault="00021B73" w:rsidP="00021B73">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 xml:space="preserve">בחקירתה של המתנגדת היא אישרה, כי היא והמנוחה ידעו שהמבקשת ניהלה הליכים משפטיים מאוד קשים עם האב של בתה, ואף התברר כי באת כוחה של המתנגדת היא שייצגה את האב באותם הליכים (פרוטוקול הדיון בעמ' 79, שו' 8 </w:t>
      </w:r>
      <w:r>
        <w:rPr>
          <w:rFonts w:ascii="David" w:eastAsia="Calibri" w:hAnsi="David"/>
          <w:noProof w:val="0"/>
          <w:rtl/>
        </w:rPr>
        <w:t>–</w:t>
      </w:r>
      <w:r>
        <w:rPr>
          <w:rFonts w:ascii="David" w:eastAsia="Calibri" w:hAnsi="David" w:hint="cs"/>
          <w:noProof w:val="0"/>
          <w:rtl/>
        </w:rPr>
        <w:t xml:space="preserve"> עמ' 81, שו' 11).</w:t>
      </w:r>
    </w:p>
    <w:p w:rsidR="00021B73" w:rsidRDefault="00021B73" w:rsidP="00021B73">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 xml:space="preserve">המבקשת העידה כי היא לא נהגה להתלונן באזני המנוחה על מצבה, אך המנוחה בהחלט ידעה על מצבה התעסוקתי, ההליכים המשפטיים שהתנהלו בינה לבין אביה של בתה ואף שמקבלת ממנו דמי מזונות קטינה בסך 1,900 ₪ לחודש (פרוטוקול הדיון בעמ' 113, שו' 3 </w:t>
      </w:r>
      <w:r>
        <w:rPr>
          <w:rFonts w:ascii="David" w:eastAsia="Calibri" w:hAnsi="David"/>
          <w:noProof w:val="0"/>
          <w:rtl/>
        </w:rPr>
        <w:t>–</w:t>
      </w:r>
      <w:r>
        <w:rPr>
          <w:rFonts w:ascii="David" w:eastAsia="Calibri" w:hAnsi="David" w:hint="cs"/>
          <w:noProof w:val="0"/>
          <w:rtl/>
        </w:rPr>
        <w:t xml:space="preserve"> עמ' 114, שו' 5).</w:t>
      </w:r>
    </w:p>
    <w:p w:rsidR="00021B73" w:rsidRPr="005A655F" w:rsidRDefault="00021B73" w:rsidP="00021B73">
      <w:pPr>
        <w:pStyle w:val="a9"/>
        <w:spacing w:after="80" w:line="360" w:lineRule="auto"/>
        <w:ind w:left="425"/>
        <w:contextualSpacing w:val="0"/>
        <w:jc w:val="both"/>
        <w:outlineLvl w:val="3"/>
        <w:rPr>
          <w:rFonts w:ascii="David" w:eastAsia="Calibri" w:hAnsi="David"/>
          <w:noProof w:val="0"/>
          <w:rtl/>
        </w:rPr>
      </w:pPr>
      <w:r>
        <w:rPr>
          <w:rFonts w:ascii="David" w:eastAsia="Calibri" w:hAnsi="David" w:hint="cs"/>
          <w:noProof w:val="0"/>
          <w:rtl/>
        </w:rPr>
        <w:t>כמו כן, התברר כי המתנגדת עבדה במועד הרלוונטי בעבודה מסודרת וזאת בניגוד למבקשת, אשר הפסיקה לעבוד באופן מסודר עם הולדת בתה בשנת  2001 (</w:t>
      </w:r>
      <w:r w:rsidRPr="00A25026">
        <w:rPr>
          <w:rFonts w:ascii="David" w:eastAsia="Calibri" w:hAnsi="David" w:hint="cs"/>
          <w:noProof w:val="0"/>
          <w:rtl/>
        </w:rPr>
        <w:t xml:space="preserve">פרוטוקול הדיון בעמ' 59, שו' 5 </w:t>
      </w:r>
      <w:r w:rsidRPr="00A25026">
        <w:rPr>
          <w:rFonts w:ascii="David" w:eastAsia="Calibri" w:hAnsi="David"/>
          <w:noProof w:val="0"/>
          <w:rtl/>
        </w:rPr>
        <w:t>–</w:t>
      </w:r>
      <w:r w:rsidRPr="00A25026">
        <w:rPr>
          <w:rFonts w:ascii="David" w:eastAsia="Calibri" w:hAnsi="David" w:hint="cs"/>
          <w:noProof w:val="0"/>
          <w:rtl/>
        </w:rPr>
        <w:t xml:space="preserve"> עמ' 60, שו' 13). </w:t>
      </w:r>
      <w:r>
        <w:rPr>
          <w:rFonts w:ascii="David" w:eastAsia="Calibri" w:hAnsi="David" w:hint="cs"/>
          <w:noProof w:val="0"/>
          <w:rtl/>
        </w:rPr>
        <w:t xml:space="preserve">בשלב מסוים הוצאת בתה ממשמורתה עמדה על הפרק. אין חולק שהמנוחה ידעה על מצב הדברים והקושי הרב אותו חוותה המבקשת. כך כתבה </w:t>
      </w:r>
      <w:r w:rsidRPr="005A655F">
        <w:rPr>
          <w:rFonts w:ascii="David" w:eastAsia="Calibri" w:hAnsi="David" w:hint="cs"/>
          <w:noProof w:val="0"/>
          <w:rtl/>
        </w:rPr>
        <w:t>ה</w:t>
      </w:r>
      <w:r>
        <w:rPr>
          <w:rFonts w:ascii="David" w:eastAsia="Calibri" w:hAnsi="David" w:hint="cs"/>
          <w:noProof w:val="0"/>
          <w:rtl/>
        </w:rPr>
        <w:t>מתנגדת</w:t>
      </w:r>
      <w:r w:rsidRPr="005A655F">
        <w:rPr>
          <w:rFonts w:ascii="David" w:eastAsia="Calibri" w:hAnsi="David" w:hint="cs"/>
          <w:noProof w:val="0"/>
          <w:rtl/>
        </w:rPr>
        <w:t xml:space="preserve"> בסעיף 36 לתצהיר עדותה הראשית: </w:t>
      </w:r>
    </w:p>
    <w:p w:rsidR="00021B73" w:rsidRPr="005A655F" w:rsidRDefault="00021B73" w:rsidP="00021B73">
      <w:pPr>
        <w:pStyle w:val="a9"/>
        <w:spacing w:after="240"/>
        <w:ind w:left="1134" w:right="851"/>
        <w:contextualSpacing w:val="0"/>
        <w:jc w:val="both"/>
        <w:outlineLvl w:val="3"/>
        <w:rPr>
          <w:rFonts w:ascii="David" w:eastAsia="Calibri" w:hAnsi="David"/>
          <w:b/>
          <w:bCs/>
          <w:noProof w:val="0"/>
          <w:rtl/>
        </w:rPr>
      </w:pPr>
      <w:r w:rsidRPr="005A655F">
        <w:rPr>
          <w:rFonts w:ascii="David" w:eastAsia="Calibri" w:hAnsi="David" w:hint="cs"/>
          <w:b/>
          <w:bCs/>
          <w:noProof w:val="0"/>
          <w:rtl/>
        </w:rPr>
        <w:t xml:space="preserve">"גם בתור הורה אחותי נחלה כשלון, היא לא תפקדה, ורשויות הרווחה איימו לקחת ממנה את הילדה. כתוצאה מכך מי שנאלץ לשאת בחלק גדול מגידולה של הילדה הייתה אימי, אשר סבלה גם היא כידוע מנכות נפשית". </w:t>
      </w:r>
    </w:p>
    <w:p w:rsidR="00021B73" w:rsidRDefault="00021B73" w:rsidP="00021B73">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 xml:space="preserve">להשלמת התמונה יוער, כי הן המבקשת הן המתנגדת ירשו כל אחת מחצית זכויות בדירה שהייתה שייכת לאביהן המנוח. המתנגדת העידה כי המנוחה ידעה בשנת 2011 שגם למבקשת יש חצי דירה (פרוטוקול הדיון בעמ' 67, שו' 21-17). עם זאת, בחקירתה של המבקשת התברר כי צו ירושה בעניין האב המנוח ניתן רק בפברואר 2014, ועד לאותו מועד התנהלו הליכים משפטיים בעניין (פרוטוקול הדיון בעמ' 102, שו' 8-6). כלומר, במועד עריכת הצוואה כלל לא היה ברור אם המתנגדת והמבקשת יזכו לרשת זכויות בדירת אביהן המנוח. </w:t>
      </w:r>
    </w:p>
    <w:p w:rsidR="00021B73" w:rsidRPr="00A218E2" w:rsidRDefault="00021B73" w:rsidP="00605689">
      <w:pPr>
        <w:pStyle w:val="a9"/>
        <w:spacing w:after="240" w:line="360" w:lineRule="auto"/>
        <w:ind w:left="425"/>
        <w:contextualSpacing w:val="0"/>
        <w:jc w:val="both"/>
        <w:outlineLvl w:val="3"/>
        <w:rPr>
          <w:rFonts w:ascii="David" w:eastAsia="Calibri" w:hAnsi="David"/>
          <w:noProof w:val="0"/>
          <w:rtl/>
        </w:rPr>
      </w:pPr>
      <w:r>
        <w:rPr>
          <w:rFonts w:ascii="David" w:eastAsia="Calibri" w:hAnsi="David" w:hint="cs"/>
          <w:b/>
          <w:bCs/>
          <w:rtl/>
        </w:rPr>
        <mc:AlternateContent>
          <mc:Choice Requires="wps">
            <w:drawing>
              <wp:anchor distT="0" distB="0" distL="114300" distR="114300" simplePos="0" relativeHeight="251667456" behindDoc="0" locked="0" layoutInCell="1" allowOverlap="1" wp14:anchorId="0609C800" wp14:editId="404A50E9">
                <wp:simplePos x="0" y="0"/>
                <wp:positionH relativeFrom="column">
                  <wp:posOffset>-53592</wp:posOffset>
                </wp:positionH>
                <wp:positionV relativeFrom="paragraph">
                  <wp:posOffset>1005290</wp:posOffset>
                </wp:positionV>
                <wp:extent cx="5236210" cy="422694"/>
                <wp:effectExtent l="0" t="0" r="21590" b="15875"/>
                <wp:wrapNone/>
                <wp:docPr id="35" name="מלבן מעוגל 35"/>
                <wp:cNvGraphicFramePr/>
                <a:graphic xmlns:a="http://schemas.openxmlformats.org/drawingml/2006/main">
                  <a:graphicData uri="http://schemas.microsoft.com/office/word/2010/wordprocessingShape">
                    <wps:wsp>
                      <wps:cNvSpPr/>
                      <wps:spPr>
                        <a:xfrm>
                          <a:off x="0" y="0"/>
                          <a:ext cx="5236210" cy="422694"/>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E361D50" id="מלבן מעוגל 35" o:spid="_x0000_s1026" style="position:absolute;left:0;text-align:left;margin-left:-4.2pt;margin-top:79.15pt;width:412.3pt;height:33.3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" fillcolor="#4f81bd [3204]" strokecolor="#243f60 [1604]" strokeweight="2pt">
                <v:fill opacity="19789f"/>
              </v:roundrect>
            </w:pict>
          </mc:Fallback>
        </mc:AlternateContent>
      </w:r>
      <w:r>
        <w:rPr>
          <w:rFonts w:ascii="David" w:eastAsia="Calibri" w:hAnsi="David" w:hint="cs"/>
          <w:noProof w:val="0"/>
          <w:rtl/>
        </w:rPr>
        <w:t xml:space="preserve">לטענת המתנגדת בהוראה למינוי עזבון שבסעיף 8 לצוואה אין כל היגיון, שהרי המבקשת נבחרה כזוכה יחידה, ולחילופין הנכדה. בעדותה הסבירה עו"ד </w:t>
      </w:r>
      <w:r w:rsidR="00605689">
        <w:rPr>
          <w:rFonts w:ascii="David" w:eastAsia="Calibri" w:hAnsi="David" w:hint="cs"/>
          <w:noProof w:val="0"/>
          <w:rtl/>
        </w:rPr>
        <w:t>ש'</w:t>
      </w:r>
      <w:r>
        <w:rPr>
          <w:rFonts w:ascii="David" w:eastAsia="Calibri" w:hAnsi="David" w:hint="cs"/>
          <w:noProof w:val="0"/>
          <w:rtl/>
        </w:rPr>
        <w:t xml:space="preserve">, כי כברירת מחדל מציעים הם ללקוחותיהם למנות את עו"ד </w:t>
      </w:r>
      <w:r w:rsidR="00605689">
        <w:rPr>
          <w:rFonts w:ascii="David" w:eastAsia="Calibri" w:hAnsi="David" w:hint="cs"/>
          <w:noProof w:val="0"/>
          <w:rtl/>
        </w:rPr>
        <w:t>אי'</w:t>
      </w:r>
      <w:r>
        <w:rPr>
          <w:rFonts w:ascii="David" w:eastAsia="Calibri" w:hAnsi="David" w:hint="cs"/>
          <w:noProof w:val="0"/>
          <w:rtl/>
        </w:rPr>
        <w:t xml:space="preserve"> כמנהל עיזבון, אך אינה זוכרת את השיחה הספציפית בעניין עם המנוחה (פרוטוקול הדיון בעמ' 23, שו' 15-5).</w:t>
      </w:r>
    </w:p>
    <w:p w:rsidR="00021B73" w:rsidRDefault="00021B73" w:rsidP="00021B73">
      <w:pPr>
        <w:pStyle w:val="a9"/>
        <w:spacing w:after="240" w:line="360" w:lineRule="auto"/>
        <w:ind w:left="425"/>
        <w:contextualSpacing w:val="0"/>
        <w:jc w:val="both"/>
        <w:outlineLvl w:val="3"/>
        <w:rPr>
          <w:rFonts w:ascii="David" w:eastAsia="Calibri" w:hAnsi="David"/>
          <w:b/>
          <w:bCs/>
          <w:noProof w:val="0"/>
          <w:rtl/>
        </w:rPr>
      </w:pPr>
      <w:r>
        <w:rPr>
          <w:rFonts w:ascii="David" w:eastAsia="Calibri" w:hAnsi="David" w:hint="cs"/>
          <w:b/>
          <w:bCs/>
          <w:noProof w:val="0"/>
          <w:rtl/>
        </w:rPr>
        <w:t xml:space="preserve">התוצאה </w:t>
      </w:r>
      <w:r>
        <w:rPr>
          <w:rFonts w:ascii="David" w:eastAsia="Calibri" w:hAnsi="David"/>
          <w:b/>
          <w:bCs/>
          <w:noProof w:val="0"/>
          <w:rtl/>
        </w:rPr>
        <w:t>–</w:t>
      </w:r>
      <w:r>
        <w:rPr>
          <w:rFonts w:ascii="David" w:eastAsia="Calibri" w:hAnsi="David" w:hint="cs"/>
          <w:b/>
          <w:bCs/>
          <w:noProof w:val="0"/>
          <w:rtl/>
        </w:rPr>
        <w:t xml:space="preserve"> מצאתי כי</w:t>
      </w:r>
      <w:r w:rsidRPr="0099457F">
        <w:rPr>
          <w:rFonts w:ascii="David" w:eastAsia="Calibri" w:hAnsi="David" w:hint="cs"/>
          <w:b/>
          <w:bCs/>
          <w:noProof w:val="0"/>
          <w:rtl/>
        </w:rPr>
        <w:t xml:space="preserve"> יש ממש בדברי ההסבר כפי שהם מופיעים בצוואה</w:t>
      </w:r>
      <w:r>
        <w:rPr>
          <w:rFonts w:ascii="David" w:eastAsia="Calibri" w:hAnsi="David" w:hint="cs"/>
          <w:b/>
          <w:bCs/>
          <w:noProof w:val="0"/>
          <w:rtl/>
        </w:rPr>
        <w:t>,</w:t>
      </w:r>
      <w:r w:rsidRPr="0099457F">
        <w:rPr>
          <w:rFonts w:ascii="David" w:eastAsia="Calibri" w:hAnsi="David" w:hint="cs"/>
          <w:b/>
          <w:bCs/>
          <w:noProof w:val="0"/>
          <w:rtl/>
        </w:rPr>
        <w:t xml:space="preserve"> </w:t>
      </w:r>
      <w:r>
        <w:rPr>
          <w:rFonts w:ascii="David" w:eastAsia="Calibri" w:hAnsi="David" w:hint="cs"/>
          <w:b/>
          <w:bCs/>
          <w:noProof w:val="0"/>
          <w:rtl/>
        </w:rPr>
        <w:t>ו</w:t>
      </w:r>
      <w:r w:rsidRPr="0099457F">
        <w:rPr>
          <w:rFonts w:ascii="David" w:eastAsia="Calibri" w:hAnsi="David" w:hint="cs"/>
          <w:b/>
          <w:bCs/>
          <w:noProof w:val="0"/>
          <w:rtl/>
        </w:rPr>
        <w:t>כי בענייננו מתקיים מבחן "הגיונה של צוואה".</w:t>
      </w:r>
    </w:p>
    <w:p w:rsidR="00021B73" w:rsidRDefault="00021B73" w:rsidP="00021B73">
      <w:pPr>
        <w:pStyle w:val="a9"/>
        <w:numPr>
          <w:ilvl w:val="0"/>
          <w:numId w:val="11"/>
        </w:numPr>
        <w:spacing w:after="120" w:line="360" w:lineRule="auto"/>
        <w:ind w:left="425" w:hanging="425"/>
        <w:contextualSpacing w:val="0"/>
        <w:jc w:val="both"/>
        <w:outlineLvl w:val="3"/>
        <w:rPr>
          <w:rFonts w:ascii="David" w:eastAsia="Calibri" w:hAnsi="David"/>
          <w:noProof w:val="0"/>
        </w:rPr>
      </w:pPr>
      <w:r w:rsidRPr="003C771C">
        <w:rPr>
          <w:rFonts w:ascii="David" w:eastAsia="Calibri" w:hAnsi="David" w:hint="cs"/>
          <w:b/>
          <w:bCs/>
          <w:noProof w:val="0"/>
          <w:sz w:val="28"/>
          <w:szCs w:val="28"/>
          <w:u w:val="single"/>
          <w:rtl/>
        </w:rPr>
        <w:lastRenderedPageBreak/>
        <w:t>עדות המבקשת</w:t>
      </w:r>
      <w:r w:rsidRPr="003C771C">
        <w:rPr>
          <w:rFonts w:ascii="David" w:eastAsia="Calibri" w:hAnsi="David" w:hint="cs"/>
          <w:noProof w:val="0"/>
          <w:rtl/>
        </w:rPr>
        <w:t xml:space="preserve"> </w:t>
      </w:r>
      <w:r w:rsidRPr="003C771C">
        <w:rPr>
          <w:rFonts w:ascii="David" w:eastAsia="Calibri" w:hAnsi="David"/>
          <w:noProof w:val="0"/>
          <w:rtl/>
        </w:rPr>
        <w:t>–</w:t>
      </w:r>
      <w:r w:rsidRPr="003C771C">
        <w:rPr>
          <w:rFonts w:ascii="David" w:eastAsia="Calibri" w:hAnsi="David" w:hint="cs"/>
          <w:noProof w:val="0"/>
          <w:rtl/>
        </w:rPr>
        <w:t xml:space="preserve"> המבקשת העידה, כי היא שאספה את המנוחה </w:t>
      </w:r>
      <w:r>
        <w:rPr>
          <w:rFonts w:ascii="David" w:eastAsia="Calibri" w:hAnsi="David" w:hint="cs"/>
          <w:noProof w:val="0"/>
          <w:rtl/>
        </w:rPr>
        <w:t>ממשרד עורכי הדין</w:t>
      </w:r>
      <w:r w:rsidRPr="003C771C">
        <w:rPr>
          <w:rFonts w:ascii="David" w:eastAsia="Calibri" w:hAnsi="David" w:hint="cs"/>
          <w:noProof w:val="0"/>
          <w:rtl/>
        </w:rPr>
        <w:t xml:space="preserve"> לאחר עריכת הצוואה, וכשהחזירה אותה לביתה</w:t>
      </w:r>
      <w:r>
        <w:rPr>
          <w:rFonts w:ascii="David" w:eastAsia="Calibri" w:hAnsi="David" w:hint="cs"/>
          <w:noProof w:val="0"/>
          <w:rtl/>
        </w:rPr>
        <w:t>,</w:t>
      </w:r>
      <w:r w:rsidRPr="003C771C">
        <w:rPr>
          <w:rFonts w:ascii="David" w:eastAsia="Calibri" w:hAnsi="David" w:hint="cs"/>
          <w:noProof w:val="0"/>
          <w:rtl/>
        </w:rPr>
        <w:t xml:space="preserve"> המנוחה מסרה לה עותק מהצוואה </w:t>
      </w:r>
      <w:r w:rsidRPr="003C771C">
        <w:rPr>
          <w:rFonts w:ascii="David" w:hAnsi="David" w:hint="cs"/>
          <w:noProof w:val="0"/>
          <w:rtl/>
        </w:rPr>
        <w:t xml:space="preserve">(פרוטוקול הדיון בעמ' 109, שו' 18 </w:t>
      </w:r>
      <w:r w:rsidRPr="003C771C">
        <w:rPr>
          <w:rFonts w:ascii="David" w:hAnsi="David"/>
          <w:noProof w:val="0"/>
          <w:rtl/>
        </w:rPr>
        <w:t>–</w:t>
      </w:r>
      <w:r w:rsidRPr="003C771C">
        <w:rPr>
          <w:rFonts w:ascii="David" w:hAnsi="David" w:hint="cs"/>
          <w:noProof w:val="0"/>
          <w:rtl/>
        </w:rPr>
        <w:t xml:space="preserve"> עמ' 110, שו' 7)</w:t>
      </w:r>
      <w:r>
        <w:rPr>
          <w:rFonts w:ascii="David" w:eastAsia="Calibri" w:hAnsi="David" w:hint="cs"/>
          <w:noProof w:val="0"/>
          <w:rtl/>
        </w:rPr>
        <w:t>.</w:t>
      </w:r>
      <w:r w:rsidRPr="003C771C">
        <w:rPr>
          <w:rFonts w:ascii="David" w:eastAsia="Calibri" w:hAnsi="David" w:hint="cs"/>
          <w:noProof w:val="0"/>
          <w:rtl/>
        </w:rPr>
        <w:t xml:space="preserve"> המבקשת העידה שהיא כעסה על המנוחה </w:t>
      </w:r>
      <w:r>
        <w:rPr>
          <w:rFonts w:ascii="David" w:eastAsia="Calibri" w:hAnsi="David" w:hint="cs"/>
          <w:noProof w:val="0"/>
          <w:rtl/>
        </w:rPr>
        <w:t>כ</w:t>
      </w:r>
      <w:r w:rsidRPr="003C771C">
        <w:rPr>
          <w:rFonts w:ascii="David" w:eastAsia="Calibri" w:hAnsi="David" w:hint="cs"/>
          <w:noProof w:val="0"/>
          <w:rtl/>
        </w:rPr>
        <w:t>שגילתה שערכה צוואה, אך ל</w:t>
      </w:r>
      <w:r>
        <w:rPr>
          <w:rFonts w:ascii="David" w:eastAsia="Calibri" w:hAnsi="David" w:hint="cs"/>
          <w:noProof w:val="0"/>
          <w:rtl/>
        </w:rPr>
        <w:t>טענתה ה</w:t>
      </w:r>
      <w:r w:rsidRPr="003C771C">
        <w:rPr>
          <w:rFonts w:ascii="David" w:eastAsia="Calibri" w:hAnsi="David" w:hint="cs"/>
          <w:noProof w:val="0"/>
          <w:rtl/>
        </w:rPr>
        <w:t xml:space="preserve">מנוחה </w:t>
      </w:r>
      <w:r>
        <w:rPr>
          <w:rFonts w:ascii="David" w:eastAsia="Calibri" w:hAnsi="David" w:hint="cs"/>
          <w:noProof w:val="0"/>
          <w:rtl/>
        </w:rPr>
        <w:t>הסבירה לה ש</w:t>
      </w:r>
      <w:r w:rsidRPr="003C771C">
        <w:rPr>
          <w:rFonts w:ascii="David" w:eastAsia="Calibri" w:hAnsi="David" w:hint="cs"/>
          <w:noProof w:val="0"/>
          <w:rtl/>
        </w:rPr>
        <w:t xml:space="preserve">היה חשוב </w:t>
      </w:r>
      <w:r>
        <w:rPr>
          <w:rFonts w:ascii="David" w:eastAsia="Calibri" w:hAnsi="David" w:hint="cs"/>
          <w:noProof w:val="0"/>
          <w:rtl/>
        </w:rPr>
        <w:t xml:space="preserve">לה </w:t>
      </w:r>
      <w:r w:rsidRPr="003C771C">
        <w:rPr>
          <w:rFonts w:ascii="David" w:eastAsia="Calibri" w:hAnsi="David" w:hint="cs"/>
          <w:noProof w:val="0"/>
          <w:rtl/>
        </w:rPr>
        <w:t xml:space="preserve">לערוך צוואה כדי לא לחזור על הטעות של אביה, שלא ערך צוואה </w:t>
      </w:r>
      <w:r w:rsidRPr="003C771C">
        <w:rPr>
          <w:rFonts w:ascii="David" w:hAnsi="David" w:hint="cs"/>
          <w:noProof w:val="0"/>
          <w:rtl/>
        </w:rPr>
        <w:t xml:space="preserve">(פרוטוקול הדיון בעמ' 108, שו' 16 </w:t>
      </w:r>
      <w:r w:rsidRPr="003C771C">
        <w:rPr>
          <w:rFonts w:ascii="David" w:hAnsi="David"/>
          <w:noProof w:val="0"/>
          <w:rtl/>
        </w:rPr>
        <w:t>–</w:t>
      </w:r>
      <w:r w:rsidRPr="003C771C">
        <w:rPr>
          <w:rFonts w:ascii="David" w:hAnsi="David" w:hint="cs"/>
          <w:noProof w:val="0"/>
          <w:rtl/>
        </w:rPr>
        <w:t xml:space="preserve"> עמ' 109, שו' 12):</w:t>
      </w:r>
    </w:p>
    <w:p w:rsidR="00D97E68" w:rsidRPr="003C771C" w:rsidRDefault="00D97E68" w:rsidP="00D97E68">
      <w:pPr>
        <w:pStyle w:val="a9"/>
        <w:ind w:left="425"/>
        <w:contextualSpacing w:val="0"/>
        <w:jc w:val="both"/>
        <w:outlineLvl w:val="3"/>
        <w:rPr>
          <w:rFonts w:ascii="David" w:eastAsia="Calibri" w:hAnsi="David"/>
          <w:noProof w:val="0"/>
        </w:rPr>
      </w:pPr>
      <w:r w:rsidRPr="00D97E68">
        <w:rPr>
          <w:rFonts w:ascii="David" w:eastAsia="Calibri" w:hAnsi="David"/>
          <w:rtl/>
        </w:rPr>
        <w:drawing>
          <wp:inline distT="0" distB="0" distL="0" distR="0" wp14:anchorId="31C18B70" wp14:editId="03C85241">
            <wp:extent cx="4919311" cy="1613139"/>
            <wp:effectExtent l="0" t="0" r="0" b="6350"/>
            <wp:docPr id="201" name="תמונה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1969" cy="1620569"/>
                    </a:xfrm>
                    <a:prstGeom prst="rect">
                      <a:avLst/>
                    </a:prstGeom>
                  </pic:spPr>
                </pic:pic>
              </a:graphicData>
            </a:graphic>
          </wp:inline>
        </w:drawing>
      </w:r>
    </w:p>
    <w:p w:rsidR="00021B73" w:rsidRPr="009F3220" w:rsidRDefault="00D97E68" w:rsidP="00021B73">
      <w:pPr>
        <w:pStyle w:val="a9"/>
        <w:spacing w:after="240"/>
        <w:ind w:left="425"/>
        <w:contextualSpacing w:val="0"/>
        <w:jc w:val="both"/>
        <w:outlineLvl w:val="3"/>
        <w:rPr>
          <w:rFonts w:ascii="David" w:eastAsia="Calibri" w:hAnsi="David"/>
          <w:noProof w:val="0"/>
          <w:rtl/>
        </w:rPr>
      </w:pPr>
      <w:r w:rsidRPr="00D97E68">
        <w:rPr>
          <w:rFonts w:ascii="David" w:eastAsia="Calibri" w:hAnsi="David"/>
          <w:rtl/>
        </w:rPr>
        <w:drawing>
          <wp:inline distT="0" distB="0" distL="0" distR="0" wp14:anchorId="66643D53" wp14:editId="1EAFF808">
            <wp:extent cx="4904900" cy="2786332"/>
            <wp:effectExtent l="0" t="0" r="0" b="0"/>
            <wp:docPr id="202" name="תמונה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24587" cy="2797515"/>
                    </a:xfrm>
                    <a:prstGeom prst="rect">
                      <a:avLst/>
                    </a:prstGeom>
                  </pic:spPr>
                </pic:pic>
              </a:graphicData>
            </a:graphic>
          </wp:inline>
        </w:drawing>
      </w:r>
    </w:p>
    <w:p w:rsidR="00021B73" w:rsidRPr="007D143D" w:rsidRDefault="00021B73" w:rsidP="00021B73">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t xml:space="preserve">בנוסף, </w:t>
      </w:r>
      <w:r w:rsidRPr="00E73A2A">
        <w:rPr>
          <w:rFonts w:ascii="David" w:hAnsi="David" w:hint="cs"/>
          <w:noProof w:val="0"/>
          <w:rtl/>
        </w:rPr>
        <w:t>המבקשת העידה כי המנוחה סיפרה לה שהיא עדכנה גם את המתנגדת על אודות עריכת הצוואה, אך היא בעצמה לא שוחחה עם המתנגדת על כך (פרוטוקול הדיון בעמ' 7-5).</w:t>
      </w:r>
    </w:p>
    <w:p w:rsidR="00021B73" w:rsidRPr="00E73A2A" w:rsidRDefault="00021B73" w:rsidP="00021B73">
      <w:pPr>
        <w:pStyle w:val="a9"/>
        <w:spacing w:after="120" w:line="360" w:lineRule="auto"/>
        <w:ind w:left="425"/>
        <w:contextualSpacing w:val="0"/>
        <w:jc w:val="both"/>
        <w:outlineLvl w:val="3"/>
        <w:rPr>
          <w:rFonts w:ascii="David" w:eastAsia="Calibri" w:hAnsi="David"/>
          <w:noProof w:val="0"/>
        </w:rPr>
      </w:pPr>
      <w:r>
        <w:rPr>
          <w:rFonts w:ascii="David" w:eastAsia="Calibri" w:hAnsi="David" w:hint="cs"/>
          <w:noProof w:val="0"/>
          <w:rtl/>
        </w:rPr>
        <w:t xml:space="preserve">המבקשת העידה כי עד לשנת 2013 נהגה המתנגדת לשתף אותה בכל מה שקורה בחייה ובשנת 2013 חלה תפנית ביחסים. לטענת המבקשת, הדבר נבע כנראה מגילויה של המתנגדת על הצוואה לאחר שהמנוחה סיפרה לה עליה. המבקשת העידה כי המתנגדת גם שלחה לה הודעה בטלפון הנייד שבה נכתב: </w:t>
      </w:r>
      <w:r w:rsidRPr="005570DE">
        <w:rPr>
          <w:rFonts w:ascii="David" w:eastAsia="Calibri" w:hAnsi="David" w:hint="cs"/>
          <w:b/>
          <w:bCs/>
          <w:noProof w:val="0"/>
          <w:rtl/>
        </w:rPr>
        <w:t>"את והבת שלך משתלטות על הבית של אימא"</w:t>
      </w:r>
      <w:r>
        <w:rPr>
          <w:rFonts w:ascii="David" w:eastAsia="Calibri" w:hAnsi="David" w:hint="cs"/>
          <w:noProof w:val="0"/>
          <w:rtl/>
        </w:rPr>
        <w:t xml:space="preserve"> (פרוטוקול הדיון בעמ' 120, שו' 20 </w:t>
      </w:r>
      <w:r>
        <w:rPr>
          <w:rFonts w:ascii="David" w:eastAsia="Calibri" w:hAnsi="David"/>
          <w:noProof w:val="0"/>
          <w:rtl/>
        </w:rPr>
        <w:t>–</w:t>
      </w:r>
      <w:r>
        <w:rPr>
          <w:rFonts w:ascii="David" w:eastAsia="Calibri" w:hAnsi="David" w:hint="cs"/>
          <w:noProof w:val="0"/>
          <w:rtl/>
        </w:rPr>
        <w:t xml:space="preserve"> עמ' 121, שו' 18).</w:t>
      </w:r>
    </w:p>
    <w:p w:rsidR="00021B73" w:rsidRDefault="00021B73" w:rsidP="00021B73">
      <w:pPr>
        <w:pStyle w:val="a9"/>
        <w:spacing w:after="120" w:line="360" w:lineRule="auto"/>
        <w:ind w:left="425"/>
        <w:contextualSpacing w:val="0"/>
        <w:jc w:val="both"/>
        <w:outlineLvl w:val="3"/>
        <w:rPr>
          <w:rFonts w:ascii="David" w:eastAsia="Calibri" w:hAnsi="David"/>
          <w:noProof w:val="0"/>
          <w:rtl/>
        </w:rPr>
      </w:pPr>
      <w:r>
        <w:rPr>
          <w:rFonts w:ascii="David" w:eastAsia="Calibri" w:hAnsi="David" w:hint="cs"/>
          <w:noProof w:val="0"/>
          <w:rtl/>
        </w:rPr>
        <w:lastRenderedPageBreak/>
        <w:t>מנגד, המתנגדת טענה כי המנוחה לא סיפרה לה שערכה את הצוואה, משכך היא הגישה בקשה לצו ירושה. המתנגדת העידה כי טרם הגשת הבקשה לא שוחחה עם אחותה המבקשת (פרוטוקול הדיון בעמ' 62, שו' 16-4).</w:t>
      </w:r>
    </w:p>
    <w:p w:rsidR="00021B73" w:rsidRPr="00FE3292" w:rsidRDefault="00021B73" w:rsidP="00021B73">
      <w:pPr>
        <w:pStyle w:val="a9"/>
        <w:spacing w:after="240" w:line="360" w:lineRule="auto"/>
        <w:ind w:left="425"/>
        <w:contextualSpacing w:val="0"/>
        <w:jc w:val="both"/>
        <w:outlineLvl w:val="3"/>
        <w:rPr>
          <w:rFonts w:ascii="David" w:eastAsia="Calibri" w:hAnsi="David"/>
          <w:b/>
          <w:bCs/>
          <w:noProof w:val="0"/>
        </w:rPr>
      </w:pPr>
      <w:r w:rsidRPr="00FE3292">
        <w:rPr>
          <w:rFonts w:ascii="David" w:eastAsia="Calibri" w:hAnsi="David" w:hint="cs"/>
          <w:b/>
          <w:bCs/>
          <w:noProof w:val="0"/>
          <w:rtl/>
        </w:rPr>
        <w:t xml:space="preserve">עדותה של המבקשת נמצאה מהימנה עליי בעניין זה. </w:t>
      </w:r>
    </w:p>
    <w:p w:rsidR="00021B73" w:rsidRDefault="00021B73" w:rsidP="00021B73">
      <w:pPr>
        <w:pStyle w:val="a9"/>
        <w:numPr>
          <w:ilvl w:val="0"/>
          <w:numId w:val="7"/>
        </w:numPr>
        <w:spacing w:after="240" w:line="360" w:lineRule="auto"/>
        <w:ind w:left="0" w:firstLine="0"/>
        <w:contextualSpacing w:val="0"/>
        <w:jc w:val="both"/>
        <w:outlineLvl w:val="3"/>
        <w:rPr>
          <w:rFonts w:ascii="David" w:eastAsia="Calibri" w:hAnsi="David"/>
          <w:noProof w:val="0"/>
        </w:rPr>
      </w:pPr>
      <w:r w:rsidRPr="00FE3292">
        <w:rPr>
          <w:rFonts w:ascii="David" w:eastAsia="Calibri" w:hAnsi="David" w:hint="cs"/>
          <w:b/>
          <w:bCs/>
          <w:noProof w:val="0"/>
          <w:rtl/>
        </w:rPr>
        <w:t>לסיכום</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המנוחה הייתה כשירה לערוך צוואה במועד עריכתה; המנוחה חתמה על הצוואה, תוך שהבינה את מהות המסמך, לפני שני עדים שהם עורכי דין במקצועם; העדים התרשמו ממצבה במועד עריכת הצוואה והעידו על כך בבית המשפט; הצוואה כוללת דברי הסבר; הצוואה עמדה במבחן הגיונה של צוואה; המבקשת העידה על רצון המנוחה כפי שהובע על ידה בפניה.</w:t>
      </w:r>
    </w:p>
    <w:p w:rsidR="00021B73" w:rsidRDefault="00021B73" w:rsidP="00021B73">
      <w:pPr>
        <w:pStyle w:val="a9"/>
        <w:numPr>
          <w:ilvl w:val="0"/>
          <w:numId w:val="7"/>
        </w:numPr>
        <w:spacing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אומנם, אל מול כל אלה הציגה המתנגדת טענות ביחס למצבה הבריאותי והנפשי של המנוחה במועד עריכת הצוואה, ואף ביחס לטיב היחסים שהיו בין המנוחה לבין המבקשת. עם זאת, לא מצאתי כי יש בטענות אלה יש כדי לסתור את המסקנה, שהצוואה משקפת את רצונה החופשי והאמיתי של המנוחה. </w:t>
      </w:r>
    </w:p>
    <w:p w:rsidR="00021B73" w:rsidRPr="002B4F35" w:rsidRDefault="00021B73" w:rsidP="00021B73">
      <w:pPr>
        <w:pStyle w:val="a9"/>
        <w:numPr>
          <w:ilvl w:val="0"/>
          <w:numId w:val="7"/>
        </w:numPr>
        <w:spacing w:after="240" w:line="360" w:lineRule="auto"/>
        <w:ind w:left="0" w:firstLine="0"/>
        <w:contextualSpacing w:val="0"/>
        <w:jc w:val="both"/>
        <w:outlineLvl w:val="3"/>
        <w:rPr>
          <w:rFonts w:ascii="David" w:eastAsia="Calibri" w:hAnsi="David"/>
          <w:noProof w:val="0"/>
        </w:rPr>
      </w:pPr>
      <w:r>
        <w:rPr>
          <w:rFonts w:eastAsia="Calibri" w:hint="cs"/>
          <w:rtl/>
        </w:rPr>
        <mc:AlternateContent>
          <mc:Choice Requires="wps">
            <w:drawing>
              <wp:anchor distT="0" distB="0" distL="114300" distR="114300" simplePos="0" relativeHeight="251661312" behindDoc="0" locked="0" layoutInCell="1" allowOverlap="1" wp14:anchorId="43F9634B" wp14:editId="51630132">
                <wp:simplePos x="0" y="0"/>
                <wp:positionH relativeFrom="margin">
                  <wp:posOffset>-99695</wp:posOffset>
                </wp:positionH>
                <wp:positionV relativeFrom="paragraph">
                  <wp:posOffset>1205230</wp:posOffset>
                </wp:positionV>
                <wp:extent cx="5598543" cy="483079"/>
                <wp:effectExtent l="0" t="0" r="21590" b="12700"/>
                <wp:wrapNone/>
                <wp:docPr id="3" name="מלבן מעוגל 3"/>
                <wp:cNvGraphicFramePr/>
                <a:graphic xmlns:a="http://schemas.openxmlformats.org/drawingml/2006/main">
                  <a:graphicData uri="http://schemas.microsoft.com/office/word/2010/wordprocessingShape">
                    <wps:wsp>
                      <wps:cNvSpPr/>
                      <wps:spPr>
                        <a:xfrm>
                          <a:off x="0" y="0"/>
                          <a:ext cx="5598543" cy="483079"/>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36C10F" id="מלבן מעוגל 3" o:spid="_x0000_s1026" style="position:absolute;left:0;text-align:left;margin-left:-7.85pt;margin-top:94.9pt;width:440.85pt;height:38.0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" fillcolor="#4f81bd [3204]" strokecolor="#243f60 [1604]" strokeweight="2pt">
                <v:fill opacity="19789f"/>
                <w10:wrap anchorx="margin"/>
              </v:roundrect>
            </w:pict>
          </mc:Fallback>
        </mc:AlternateContent>
      </w:r>
      <w:r>
        <w:rPr>
          <w:rFonts w:ascii="David" w:eastAsia="Calibri" w:hAnsi="David" w:hint="cs"/>
          <w:noProof w:val="0"/>
          <w:rtl/>
        </w:rPr>
        <w:t xml:space="preserve">ברי כי במועד עריכת הצוואה, עת הייתה המנוחה כבת 80 שנים ואף בשים לב, כי הייתה ניצולת שואה, לא היה מצבה הבריאותי והנפשי מן המשופרים. אף ניתן לומר, כי היחסים המשפחתיים שבין המנוחה לבין המבקשת ובעיקר בין המבקשת לבין המתנגדת היו מורכבים. אך כפי שיובהר בפירוט תחת בחינת העילות לביטול הצוואה כפי שנטענו על ידי המתנגדת, אין די באלה כדי להוביל למסקנה שהצוואה אינה משקפת את רצון המנוחה. </w:t>
      </w:r>
    </w:p>
    <w:p w:rsidR="00021B73" w:rsidRPr="005105EC" w:rsidRDefault="00021B73" w:rsidP="00021B73">
      <w:pPr>
        <w:pStyle w:val="a9"/>
        <w:numPr>
          <w:ilvl w:val="0"/>
          <w:numId w:val="7"/>
        </w:numPr>
        <w:spacing w:after="240" w:line="360" w:lineRule="auto"/>
        <w:ind w:left="0" w:firstLine="0"/>
        <w:jc w:val="both"/>
        <w:outlineLvl w:val="3"/>
        <w:rPr>
          <w:rFonts w:ascii="David" w:eastAsia="Calibri" w:hAnsi="David"/>
          <w:b/>
          <w:bCs/>
          <w:noProof w:val="0"/>
          <w:rtl/>
        </w:rPr>
      </w:pPr>
      <w:r w:rsidRPr="00FA571C">
        <w:rPr>
          <w:rFonts w:ascii="David" w:eastAsia="Calibri" w:hAnsi="David" w:hint="cs"/>
          <w:b/>
          <w:bCs/>
          <w:noProof w:val="0"/>
          <w:rtl/>
        </w:rPr>
        <w:t>ה</w:t>
      </w:r>
      <w:r>
        <w:rPr>
          <w:rFonts w:ascii="David" w:eastAsia="Calibri" w:hAnsi="David" w:hint="cs"/>
          <w:b/>
          <w:bCs/>
          <w:noProof w:val="0"/>
          <w:rtl/>
        </w:rPr>
        <w:t>תוצאה</w:t>
      </w:r>
      <w:r w:rsidRPr="00FA571C">
        <w:rPr>
          <w:rFonts w:ascii="David" w:eastAsia="Calibri" w:hAnsi="David" w:hint="cs"/>
          <w:b/>
          <w:bCs/>
          <w:noProof w:val="0"/>
          <w:rtl/>
        </w:rPr>
        <w:t xml:space="preserve"> </w:t>
      </w:r>
      <w:r w:rsidRPr="00FA571C">
        <w:rPr>
          <w:rFonts w:ascii="David" w:eastAsia="Calibri" w:hAnsi="David"/>
          <w:b/>
          <w:bCs/>
          <w:noProof w:val="0"/>
          <w:rtl/>
        </w:rPr>
        <w:t>–</w:t>
      </w:r>
      <w:r w:rsidRPr="00FA571C">
        <w:rPr>
          <w:rFonts w:ascii="David" w:eastAsia="Calibri" w:hAnsi="David" w:hint="cs"/>
          <w:b/>
          <w:bCs/>
          <w:noProof w:val="0"/>
          <w:rtl/>
        </w:rPr>
        <w:t xml:space="preserve"> המבקשת הרימה את נטל השכנוע </w:t>
      </w:r>
      <w:r>
        <w:rPr>
          <w:rFonts w:ascii="David" w:eastAsia="Calibri" w:hAnsi="David" w:hint="cs"/>
          <w:b/>
          <w:bCs/>
          <w:noProof w:val="0"/>
          <w:rtl/>
        </w:rPr>
        <w:t>הנדרש לשם הוכחה,</w:t>
      </w:r>
      <w:r w:rsidRPr="00FA571C">
        <w:rPr>
          <w:rFonts w:ascii="David" w:eastAsia="Calibri" w:hAnsi="David" w:hint="cs"/>
          <w:b/>
          <w:bCs/>
          <w:noProof w:val="0"/>
          <w:rtl/>
        </w:rPr>
        <w:t xml:space="preserve"> כי הצוואה משקפת את רצונה החופשי והאמיתי של המנוחה. </w:t>
      </w:r>
    </w:p>
    <w:p w:rsidR="00021B73" w:rsidRPr="006E0E22" w:rsidRDefault="00021B73" w:rsidP="00021B73">
      <w:pPr>
        <w:spacing w:after="120" w:line="360" w:lineRule="auto"/>
        <w:jc w:val="both"/>
        <w:outlineLvl w:val="3"/>
        <w:rPr>
          <w:rFonts w:ascii="David" w:eastAsia="Calibri" w:hAnsi="David"/>
          <w:b/>
          <w:bCs/>
          <w:noProof w:val="0"/>
          <w:rtl/>
        </w:rPr>
      </w:pPr>
      <w:r w:rsidRPr="006E0E22">
        <w:rPr>
          <w:rFonts w:ascii="David" w:eastAsia="Calibri" w:hAnsi="David" w:hint="cs"/>
          <w:b/>
          <w:bCs/>
          <w:noProof w:val="0"/>
          <w:rtl/>
        </w:rPr>
        <w:t>עתה אעבור לבחון את העילות לביטול הצוואה.</w:t>
      </w:r>
    </w:p>
    <w:p w:rsidR="00021B73" w:rsidRPr="00AC58E3" w:rsidRDefault="00021B73" w:rsidP="00021B73">
      <w:pPr>
        <w:spacing w:after="120" w:line="360" w:lineRule="auto"/>
        <w:jc w:val="both"/>
        <w:outlineLvl w:val="3"/>
        <w:rPr>
          <w:rFonts w:ascii="David" w:eastAsia="Calibri" w:hAnsi="David"/>
          <w:b/>
          <w:bCs/>
          <w:noProof w:val="0"/>
          <w:sz w:val="28"/>
          <w:szCs w:val="28"/>
          <w:u w:val="single"/>
          <w:rtl/>
        </w:rPr>
      </w:pPr>
      <w:r>
        <w:rPr>
          <w:rFonts w:ascii="David" w:eastAsia="Calibri" w:hAnsi="David" w:hint="cs"/>
          <w:b/>
          <w:bCs/>
          <w:noProof w:val="0"/>
          <w:sz w:val="28"/>
          <w:szCs w:val="28"/>
          <w:u w:val="single"/>
          <w:rtl/>
        </w:rPr>
        <w:t>בחינת העילות הנטענות</w:t>
      </w:r>
      <w:r w:rsidRPr="00AC58E3">
        <w:rPr>
          <w:rFonts w:ascii="David" w:eastAsia="Calibri" w:hAnsi="David" w:hint="cs"/>
          <w:b/>
          <w:bCs/>
          <w:noProof w:val="0"/>
          <w:sz w:val="28"/>
          <w:szCs w:val="28"/>
          <w:u w:val="single"/>
          <w:rtl/>
        </w:rPr>
        <w:t xml:space="preserve"> לביטול הצוואה</w:t>
      </w:r>
    </w:p>
    <w:p w:rsidR="00021B73" w:rsidRDefault="00021B73" w:rsidP="00021B73">
      <w:pPr>
        <w:numPr>
          <w:ilvl w:val="0"/>
          <w:numId w:val="7"/>
        </w:numPr>
        <w:spacing w:after="120" w:line="360" w:lineRule="auto"/>
        <w:ind w:left="0" w:firstLine="0"/>
        <w:jc w:val="both"/>
        <w:outlineLvl w:val="3"/>
        <w:rPr>
          <w:rFonts w:ascii="David" w:eastAsia="Calibri" w:hAnsi="David"/>
          <w:b/>
          <w:bCs/>
          <w:noProof w:val="0"/>
        </w:rPr>
      </w:pPr>
      <w:r>
        <w:rPr>
          <w:rFonts w:ascii="Arial" w:hAnsi="Arial"/>
          <w:b/>
          <w:bCs/>
          <w:noProof w:val="0"/>
          <w:rtl/>
        </w:rPr>
        <w:t>עתה משהובהרה חשיבותו של עקרון כיבוד רצונה של המנוחה</w:t>
      </w:r>
      <w:r>
        <w:rPr>
          <w:rFonts w:ascii="Arial" w:hAnsi="Arial" w:hint="cs"/>
          <w:b/>
          <w:bCs/>
          <w:noProof w:val="0"/>
          <w:rtl/>
        </w:rPr>
        <w:t>, ונחה הדעת כי ככל שעבר נטל השכנוע לכתפי המבקשת והיא עמדה בו</w:t>
      </w:r>
      <w:r>
        <w:rPr>
          <w:rFonts w:ascii="Arial" w:hAnsi="Arial"/>
          <w:b/>
          <w:bCs/>
          <w:noProof w:val="0"/>
          <w:rtl/>
        </w:rPr>
        <w:t xml:space="preserve"> – אעבור לדון ב</w:t>
      </w:r>
      <w:r>
        <w:rPr>
          <w:rFonts w:ascii="Arial" w:hAnsi="Arial" w:hint="cs"/>
          <w:b/>
          <w:bCs/>
          <w:noProof w:val="0"/>
          <w:rtl/>
        </w:rPr>
        <w:t>שני</w:t>
      </w:r>
      <w:r>
        <w:rPr>
          <w:rFonts w:ascii="Arial" w:hAnsi="Arial"/>
          <w:b/>
          <w:bCs/>
          <w:noProof w:val="0"/>
          <w:rtl/>
        </w:rPr>
        <w:t xml:space="preserve"> טעמי התנגדותה העיקריים של המתנגדת</w:t>
      </w:r>
      <w:r>
        <w:rPr>
          <w:rFonts w:ascii="Arial" w:hAnsi="Arial" w:hint="cs"/>
          <w:b/>
          <w:bCs/>
          <w:noProof w:val="0"/>
          <w:rtl/>
        </w:rPr>
        <w:t xml:space="preserve"> לצוואה</w:t>
      </w:r>
      <w:r>
        <w:rPr>
          <w:rFonts w:ascii="Arial" w:hAnsi="Arial"/>
          <w:b/>
          <w:bCs/>
          <w:noProof w:val="0"/>
          <w:rtl/>
        </w:rPr>
        <w:t>:</w:t>
      </w:r>
    </w:p>
    <w:p w:rsidR="00021B73" w:rsidRPr="00721290" w:rsidRDefault="00021B73" w:rsidP="00021B73">
      <w:pPr>
        <w:pStyle w:val="a9"/>
        <w:numPr>
          <w:ilvl w:val="0"/>
          <w:numId w:val="10"/>
        </w:numPr>
        <w:spacing w:after="120" w:line="360" w:lineRule="auto"/>
        <w:contextualSpacing w:val="0"/>
        <w:jc w:val="both"/>
        <w:rPr>
          <w:rFonts w:ascii="Arial" w:hAnsi="Arial"/>
          <w:noProof w:val="0"/>
        </w:rPr>
      </w:pPr>
      <w:r>
        <w:rPr>
          <w:rFonts w:ascii="Arial" w:hAnsi="Arial" w:hint="cs"/>
          <w:noProof w:val="0"/>
          <w:rtl/>
        </w:rPr>
        <w:t>המבקשת</w:t>
      </w:r>
      <w:r>
        <w:rPr>
          <w:rFonts w:ascii="Arial" w:hAnsi="Arial"/>
          <w:b/>
          <w:bCs/>
          <w:noProof w:val="0"/>
          <w:rtl/>
        </w:rPr>
        <w:t xml:space="preserve"> נטילת חלק בעריכת הצוואה</w:t>
      </w:r>
      <w:r>
        <w:rPr>
          <w:rFonts w:ascii="Arial" w:hAnsi="Arial"/>
          <w:noProof w:val="0"/>
          <w:rtl/>
        </w:rPr>
        <w:t xml:space="preserve"> </w:t>
      </w:r>
      <w:r w:rsidRPr="00721290">
        <w:rPr>
          <w:rFonts w:ascii="Arial" w:hAnsi="Arial"/>
          <w:noProof w:val="0"/>
          <w:rtl/>
        </w:rPr>
        <w:t>(ס' 35 לחוק הירושה);</w:t>
      </w:r>
    </w:p>
    <w:p w:rsidR="00021B73" w:rsidRPr="00846671" w:rsidRDefault="00021B73" w:rsidP="00021B73">
      <w:pPr>
        <w:pStyle w:val="a9"/>
        <w:spacing w:after="120" w:line="360" w:lineRule="auto"/>
        <w:ind w:left="1134" w:hanging="414"/>
        <w:contextualSpacing w:val="0"/>
        <w:jc w:val="both"/>
        <w:rPr>
          <w:rFonts w:ascii="Arial" w:hAnsi="Arial"/>
          <w:noProof w:val="0"/>
          <w:rtl/>
        </w:rPr>
      </w:pPr>
      <w:r>
        <w:rPr>
          <w:rFonts w:ascii="Arial" w:hAnsi="Arial" w:hint="cs"/>
          <w:noProof w:val="0"/>
          <w:rtl/>
        </w:rPr>
        <w:t>ב</w:t>
      </w:r>
      <w:r>
        <w:rPr>
          <w:rFonts w:ascii="Arial" w:hAnsi="Arial"/>
          <w:noProof w:val="0"/>
          <w:rtl/>
        </w:rPr>
        <w:t xml:space="preserve">. </w:t>
      </w:r>
      <w:r>
        <w:rPr>
          <w:rFonts w:ascii="Arial" w:hAnsi="Arial"/>
          <w:noProof w:val="0"/>
          <w:rtl/>
        </w:rPr>
        <w:tab/>
      </w:r>
      <w:r>
        <w:rPr>
          <w:rFonts w:ascii="Arial" w:hAnsi="Arial" w:hint="cs"/>
          <w:noProof w:val="0"/>
          <w:rtl/>
        </w:rPr>
        <w:t>ה</w:t>
      </w:r>
      <w:r>
        <w:rPr>
          <w:rFonts w:ascii="Arial" w:hAnsi="Arial"/>
          <w:noProof w:val="0"/>
          <w:rtl/>
        </w:rPr>
        <w:t xml:space="preserve">צוואה נעשתה מחמת </w:t>
      </w:r>
      <w:r>
        <w:rPr>
          <w:rFonts w:ascii="Arial" w:hAnsi="Arial"/>
          <w:b/>
          <w:bCs/>
          <w:noProof w:val="0"/>
          <w:rtl/>
        </w:rPr>
        <w:t>השפעה בלתי הוגנת</w:t>
      </w:r>
      <w:r>
        <w:rPr>
          <w:rFonts w:ascii="Arial" w:hAnsi="Arial"/>
          <w:noProof w:val="0"/>
          <w:rtl/>
        </w:rPr>
        <w:t xml:space="preserve"> מצד המבקש</w:t>
      </w:r>
      <w:r>
        <w:rPr>
          <w:rFonts w:ascii="Arial" w:hAnsi="Arial" w:hint="cs"/>
          <w:noProof w:val="0"/>
          <w:rtl/>
        </w:rPr>
        <w:t>ת</w:t>
      </w:r>
      <w:r>
        <w:rPr>
          <w:rFonts w:ascii="Arial" w:hAnsi="Arial"/>
          <w:noProof w:val="0"/>
          <w:rtl/>
        </w:rPr>
        <w:t xml:space="preserve"> (ס' 30(א) לחוק הירושה).</w:t>
      </w:r>
    </w:p>
    <w:p w:rsidR="00021B73" w:rsidRPr="00C33DA9" w:rsidRDefault="00021B73" w:rsidP="00021B73">
      <w:pPr>
        <w:spacing w:after="240"/>
        <w:jc w:val="both"/>
        <w:rPr>
          <w:rFonts w:ascii="Arial" w:hAnsi="Arial"/>
          <w:b/>
          <w:bCs/>
          <w:noProof w:val="0"/>
          <w:rtl/>
        </w:rPr>
      </w:pPr>
      <w:r>
        <w:rPr>
          <w:rFonts w:ascii="Arial" w:hAnsi="Arial"/>
          <w:b/>
          <w:bCs/>
          <w:noProof w:val="0"/>
          <w:rtl/>
        </w:rPr>
        <w:t xml:space="preserve">עתה אעבור לבחון כל אחת מטענות ההתנגדות </w:t>
      </w:r>
      <w:r>
        <w:rPr>
          <w:rFonts w:ascii="Arial" w:hAnsi="Arial" w:hint="cs"/>
          <w:b/>
          <w:bCs/>
          <w:noProof w:val="0"/>
          <w:rtl/>
        </w:rPr>
        <w:t>הללו ב</w:t>
      </w:r>
      <w:r>
        <w:rPr>
          <w:rFonts w:ascii="Arial" w:hAnsi="Arial"/>
          <w:b/>
          <w:bCs/>
          <w:noProof w:val="0"/>
          <w:rtl/>
        </w:rPr>
        <w:t>נפרד.</w:t>
      </w:r>
    </w:p>
    <w:p w:rsidR="00021B73" w:rsidRDefault="00021B73" w:rsidP="00021B73">
      <w:pPr>
        <w:spacing w:before="240" w:after="240"/>
        <w:jc w:val="both"/>
        <w:rPr>
          <w:rFonts w:ascii="David" w:hAnsi="David"/>
          <w:b/>
          <w:bCs/>
          <w:noProof w:val="0"/>
          <w:color w:val="000000"/>
          <w:sz w:val="28"/>
          <w:szCs w:val="28"/>
          <w:u w:val="single"/>
          <w:rtl/>
        </w:rPr>
      </w:pPr>
      <w:r>
        <w:rPr>
          <w:rFonts w:ascii="David" w:hAnsi="David"/>
          <w:b/>
          <w:bCs/>
          <w:noProof w:val="0"/>
          <w:color w:val="000000"/>
          <w:sz w:val="28"/>
          <w:szCs w:val="28"/>
          <w:u w:val="single"/>
          <w:rtl/>
        </w:rPr>
        <w:lastRenderedPageBreak/>
        <w:t>(</w:t>
      </w:r>
      <w:r>
        <w:rPr>
          <w:rFonts w:ascii="David" w:hAnsi="David" w:hint="cs"/>
          <w:b/>
          <w:bCs/>
          <w:noProof w:val="0"/>
          <w:color w:val="000000"/>
          <w:sz w:val="28"/>
          <w:szCs w:val="28"/>
          <w:u w:val="single"/>
          <w:rtl/>
        </w:rPr>
        <w:t>א</w:t>
      </w:r>
      <w:r>
        <w:rPr>
          <w:rFonts w:ascii="David" w:hAnsi="David"/>
          <w:b/>
          <w:bCs/>
          <w:noProof w:val="0"/>
          <w:color w:val="000000"/>
          <w:sz w:val="28"/>
          <w:szCs w:val="28"/>
          <w:u w:val="single"/>
          <w:rtl/>
        </w:rPr>
        <w:t>) האם המבקש</w:t>
      </w:r>
      <w:r>
        <w:rPr>
          <w:rFonts w:ascii="David" w:hAnsi="David" w:hint="cs"/>
          <w:b/>
          <w:bCs/>
          <w:noProof w:val="0"/>
          <w:color w:val="000000"/>
          <w:sz w:val="28"/>
          <w:szCs w:val="28"/>
          <w:u w:val="single"/>
          <w:rtl/>
        </w:rPr>
        <w:t>ת</w:t>
      </w:r>
      <w:r>
        <w:rPr>
          <w:rFonts w:ascii="David" w:hAnsi="David"/>
          <w:b/>
          <w:bCs/>
          <w:noProof w:val="0"/>
          <w:color w:val="000000"/>
          <w:sz w:val="28"/>
          <w:szCs w:val="28"/>
          <w:u w:val="single"/>
          <w:rtl/>
        </w:rPr>
        <w:t xml:space="preserve"> נטל</w:t>
      </w:r>
      <w:r>
        <w:rPr>
          <w:rFonts w:ascii="David" w:hAnsi="David" w:hint="cs"/>
          <w:b/>
          <w:bCs/>
          <w:noProof w:val="0"/>
          <w:color w:val="000000"/>
          <w:sz w:val="28"/>
          <w:szCs w:val="28"/>
          <w:u w:val="single"/>
          <w:rtl/>
        </w:rPr>
        <w:t>ה</w:t>
      </w:r>
      <w:r>
        <w:rPr>
          <w:rFonts w:ascii="David" w:hAnsi="David"/>
          <w:b/>
          <w:bCs/>
          <w:noProof w:val="0"/>
          <w:color w:val="000000"/>
          <w:sz w:val="28"/>
          <w:szCs w:val="28"/>
          <w:u w:val="single"/>
          <w:rtl/>
        </w:rPr>
        <w:t xml:space="preserve"> חלק בעריכת הצוואה?</w:t>
      </w:r>
    </w:p>
    <w:p w:rsidR="00021B73" w:rsidRDefault="00021B73" w:rsidP="00021B73">
      <w:pPr>
        <w:pStyle w:val="a9"/>
        <w:numPr>
          <w:ilvl w:val="0"/>
          <w:numId w:val="7"/>
        </w:numPr>
        <w:spacing w:after="120" w:line="360" w:lineRule="auto"/>
        <w:ind w:left="0" w:firstLine="0"/>
        <w:jc w:val="both"/>
        <w:rPr>
          <w:rFonts w:ascii="David" w:hAnsi="David"/>
          <w:noProof w:val="0"/>
          <w:color w:val="000000"/>
          <w:rtl/>
        </w:rPr>
      </w:pPr>
      <w:r>
        <w:rPr>
          <w:rFonts w:ascii="David" w:hAnsi="David"/>
          <w:noProof w:val="0"/>
          <w:rtl/>
        </w:rPr>
        <w:t>סעיף 35</w:t>
      </w:r>
      <w:r>
        <w:rPr>
          <w:rFonts w:ascii="David" w:hAnsi="David"/>
          <w:noProof w:val="0"/>
          <w:color w:val="000000"/>
          <w:rtl/>
        </w:rPr>
        <w:t xml:space="preserve"> </w:t>
      </w:r>
      <w:r>
        <w:rPr>
          <w:rFonts w:ascii="David" w:hAnsi="David"/>
          <w:noProof w:val="0"/>
          <w:rtl/>
        </w:rPr>
        <w:t xml:space="preserve">לחוק הירושה </w:t>
      </w:r>
      <w:r>
        <w:rPr>
          <w:rFonts w:ascii="David" w:hAnsi="David"/>
          <w:noProof w:val="0"/>
          <w:color w:val="000000"/>
          <w:rtl/>
        </w:rPr>
        <w:t xml:space="preserve">קובע כי: </w:t>
      </w:r>
    </w:p>
    <w:p w:rsidR="00021B73" w:rsidRDefault="00021B73" w:rsidP="00021B73">
      <w:pPr>
        <w:tabs>
          <w:tab w:val="left" w:pos="7371"/>
        </w:tabs>
        <w:spacing w:after="120"/>
        <w:ind w:left="1134" w:right="993"/>
        <w:contextualSpacing/>
        <w:jc w:val="both"/>
        <w:rPr>
          <w:rFonts w:ascii="David" w:hAnsi="David"/>
          <w:noProof w:val="0"/>
          <w:color w:val="000000"/>
          <w:rtl/>
        </w:rPr>
      </w:pPr>
      <w:r>
        <w:rPr>
          <w:rFonts w:ascii="David" w:hAnsi="David"/>
          <w:noProof w:val="0"/>
          <w:color w:val="000000"/>
          <w:rtl/>
        </w:rPr>
        <w:t>"</w:t>
      </w:r>
      <w:r>
        <w:rPr>
          <w:rFonts w:ascii="David" w:hAnsi="David"/>
          <w:b/>
          <w:bCs/>
          <w:noProof w:val="0"/>
          <w:color w:val="000000"/>
          <w:rtl/>
        </w:rPr>
        <w:t>הוראת צוואה, פרט לצוואה בעל-פה, המזכה את מי שערך אותה או היה עד לעשייתה או לקח באופן אחר חלק בעריכתה, והוראת צוואה המזכה בן-זוגו של אחד מאלה – בטלה"</w:t>
      </w:r>
      <w:r>
        <w:rPr>
          <w:rFonts w:ascii="David" w:hAnsi="David"/>
          <w:noProof w:val="0"/>
          <w:color w:val="000000"/>
          <w:rtl/>
        </w:rPr>
        <w:t>.</w:t>
      </w:r>
    </w:p>
    <w:p w:rsidR="00021B73" w:rsidRDefault="00021B73" w:rsidP="00021B73">
      <w:pPr>
        <w:ind w:right="992"/>
        <w:contextualSpacing/>
        <w:jc w:val="both"/>
        <w:rPr>
          <w:rFonts w:ascii="David" w:hAnsi="David"/>
          <w:noProof w:val="0"/>
          <w:color w:val="000000"/>
          <w:rtl/>
        </w:rPr>
      </w:pPr>
    </w:p>
    <w:p w:rsidR="00021B73" w:rsidRDefault="00021B73" w:rsidP="00021B73">
      <w:pPr>
        <w:spacing w:after="240" w:line="360" w:lineRule="auto"/>
        <w:ind w:firstLine="720"/>
        <w:jc w:val="both"/>
        <w:rPr>
          <w:rFonts w:ascii="David" w:hAnsi="David"/>
          <w:noProof w:val="0"/>
          <w:color w:val="000000"/>
          <w:rtl/>
        </w:rPr>
      </w:pPr>
      <w:r>
        <w:rPr>
          <w:rFonts w:ascii="David" w:hAnsi="David"/>
          <w:noProof w:val="0"/>
          <w:rtl/>
        </w:rPr>
        <w:t xml:space="preserve">תכלית </w:t>
      </w:r>
      <w:r>
        <w:rPr>
          <w:rFonts w:ascii="David" w:hAnsi="David" w:hint="cs"/>
          <w:noProof w:val="0"/>
          <w:rtl/>
        </w:rPr>
        <w:t>הסעיף</w:t>
      </w:r>
      <w:r>
        <w:rPr>
          <w:rFonts w:ascii="David" w:hAnsi="David"/>
          <w:noProof w:val="0"/>
          <w:rtl/>
        </w:rPr>
        <w:t xml:space="preserve"> היא פסילת צוואה כאשר נסיבותיה מקימות חשש להשתתפות הנהנה, באופן ישיר או עקיף, בעריכתה. </w:t>
      </w:r>
      <w:r>
        <w:rPr>
          <w:rFonts w:ascii="David" w:hAnsi="David"/>
          <w:noProof w:val="0"/>
          <w:color w:val="000000"/>
          <w:rtl/>
        </w:rPr>
        <w:t>בפסיקה הוגדר עורך הצוואה כמי שהכין את המסמך, בין אם בדרך של ניסוחו הלשוני, צורתו, יצירת תוכנו וכיו"ב (</w:t>
      </w:r>
      <w:r>
        <w:rPr>
          <w:rFonts w:ascii="David" w:hAnsi="David"/>
          <w:noProof w:val="0"/>
          <w:rtl/>
        </w:rPr>
        <w:t xml:space="preserve">ע"א 99/86 </w:t>
      </w:r>
      <w:r>
        <w:rPr>
          <w:rFonts w:ascii="David" w:hAnsi="David"/>
          <w:b/>
          <w:bCs/>
          <w:noProof w:val="0"/>
          <w:color w:val="000000"/>
          <w:rtl/>
        </w:rPr>
        <w:t>זיידה נ' זיידה,</w:t>
      </w:r>
      <w:r>
        <w:rPr>
          <w:rFonts w:ascii="David" w:hAnsi="David"/>
          <w:noProof w:val="0"/>
          <w:color w:val="000000"/>
          <w:rtl/>
        </w:rPr>
        <w:t xml:space="preserve"> פ"ד מ(3) 105) (1986)). בהמשך לפסיקה זו, מעורבות הנהנה בשלב הקודם להכנה הטכנית ולניסוח הצוואה אינה בגדר עריכת </w:t>
      </w:r>
      <w:r>
        <w:rPr>
          <w:rFonts w:ascii="David" w:hAnsi="David"/>
          <w:noProof w:val="0"/>
          <w:rtl/>
        </w:rPr>
        <w:t>צוואה</w:t>
      </w:r>
      <w:r>
        <w:rPr>
          <w:rFonts w:ascii="David" w:hAnsi="David"/>
          <w:noProof w:val="0"/>
          <w:color w:val="000000"/>
          <w:rtl/>
        </w:rPr>
        <w:t xml:space="preserve"> (כב' השופט שאול שוחט "</w:t>
      </w:r>
      <w:hyperlink r:id="rId15" w:history="1">
        <w:r>
          <w:rPr>
            <w:rStyle w:val="Hyperlink"/>
            <w:rFonts w:ascii="David" w:hAnsi="David"/>
            <w:b/>
            <w:bCs/>
            <w:noProof w:val="0"/>
            <w:color w:val="000000"/>
            <w:rtl/>
          </w:rPr>
          <w:t>פגמים בצוואות"</w:t>
        </w:r>
      </w:hyperlink>
      <w:r>
        <w:rPr>
          <w:rFonts w:ascii="David" w:hAnsi="David"/>
          <w:noProof w:val="0"/>
          <w:color w:val="000000"/>
          <w:rtl/>
        </w:rPr>
        <w:t>, מהדורה שלישית מורחבת ומעודכנת התשע"ו-2016, בעמ' 3</w:t>
      </w:r>
      <w:r>
        <w:rPr>
          <w:rFonts w:ascii="David" w:hAnsi="David" w:hint="cs"/>
          <w:noProof w:val="0"/>
          <w:color w:val="000000"/>
          <w:rtl/>
        </w:rPr>
        <w:t>10-309</w:t>
      </w:r>
      <w:r>
        <w:rPr>
          <w:rFonts w:ascii="David" w:hAnsi="David"/>
          <w:noProof w:val="0"/>
          <w:color w:val="000000"/>
          <w:rtl/>
        </w:rPr>
        <w:t>).</w:t>
      </w:r>
    </w:p>
    <w:p w:rsidR="00021B73" w:rsidRDefault="00021B73" w:rsidP="00021B73">
      <w:pPr>
        <w:numPr>
          <w:ilvl w:val="0"/>
          <w:numId w:val="7"/>
        </w:numPr>
        <w:spacing w:after="240" w:line="360" w:lineRule="auto"/>
        <w:ind w:left="0" w:firstLine="0"/>
        <w:jc w:val="both"/>
        <w:rPr>
          <w:rFonts w:ascii="David" w:hAnsi="David"/>
          <w:noProof w:val="0"/>
          <w:color w:val="000000"/>
          <w:rtl/>
        </w:rPr>
      </w:pPr>
      <w:r>
        <w:rPr>
          <w:rFonts w:ascii="David" w:hAnsi="David"/>
          <w:noProof w:val="0"/>
          <w:color w:val="000000"/>
          <w:rtl/>
        </w:rPr>
        <w:t xml:space="preserve">כבר נפסק, כי אין בשיחות מוקדמות בין הנהנה לבין עורך הצוואה ביחס לתוכן הצוואה או בהפניית הנהנה את המצווה לעורך הדין לשם עריכת הצוואה – כדי ללמד </w:t>
      </w:r>
      <w:r>
        <w:rPr>
          <w:rFonts w:ascii="David" w:hAnsi="David"/>
          <w:noProof w:val="0"/>
          <w:color w:val="000000"/>
          <w:u w:val="single"/>
          <w:rtl/>
        </w:rPr>
        <w:t>בהכרח</w:t>
      </w:r>
      <w:r>
        <w:rPr>
          <w:rFonts w:ascii="David" w:hAnsi="David"/>
          <w:noProof w:val="0"/>
          <w:color w:val="000000"/>
          <w:rtl/>
        </w:rPr>
        <w:t xml:space="preserve"> על מעורבות הנהנה בעריכת הצוואה </w:t>
      </w:r>
      <w:r>
        <w:rPr>
          <w:rFonts w:ascii="David" w:hAnsi="David"/>
          <w:noProof w:val="0"/>
          <w:rtl/>
        </w:rPr>
        <w:t>(</w:t>
      </w:r>
      <w:r w:rsidRPr="00CB18F9">
        <w:rPr>
          <w:rFonts w:ascii="David" w:hAnsi="David" w:hint="cs"/>
          <w:b/>
          <w:bCs/>
          <w:noProof w:val="0"/>
          <w:rtl/>
        </w:rPr>
        <w:t>עניין בוסקילה</w:t>
      </w:r>
      <w:r>
        <w:rPr>
          <w:rFonts w:ascii="David" w:hAnsi="David" w:hint="cs"/>
          <w:noProof w:val="0"/>
          <w:rtl/>
        </w:rPr>
        <w:t>, בעמ' 853-852</w:t>
      </w:r>
      <w:r>
        <w:rPr>
          <w:rFonts w:ascii="David" w:hAnsi="David"/>
          <w:noProof w:val="0"/>
          <w:color w:val="000000"/>
          <w:rtl/>
        </w:rPr>
        <w:t>).</w:t>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noProof w:val="0"/>
          <w:rtl/>
        </w:rPr>
        <w:t>עם זאת, אין הכרח כי הפעולות מצד הנהנה נעשו דווקא במועד עריכת הצוואה, ויתכן כי נעשו בקירוב לאותו מועד בקשר עם עריכתה. משכך יש לבחון את מידת המעורבות ואופייה. ככל שהפעולות שנעשו על ידי הנהנה הן רבות יותר, גסות יותר ועמוקות יותר, כך תגדל הנטייה להכריע כי הצוואה בטלה (</w:t>
      </w:r>
      <w:r>
        <w:rPr>
          <w:rFonts w:ascii="David" w:hAnsi="David"/>
          <w:b/>
          <w:bCs/>
          <w:noProof w:val="0"/>
          <w:rtl/>
        </w:rPr>
        <w:t>דיני ירושה ועיזבון</w:t>
      </w:r>
      <w:r>
        <w:rPr>
          <w:rFonts w:ascii="David" w:hAnsi="David"/>
          <w:noProof w:val="0"/>
          <w:rtl/>
        </w:rPr>
        <w:t>, בעמ' 137).</w:t>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t>לטענת המבקשת היא לא היית מעורבת בעריכת הצוואה. מנגד, לטענת המתנגדת המנוחה לא הייתה מסוגלת לאתר עורך דין לצורך עריכת הצוואה, להגיע למשרדו, לאתר את הפרטים המופיעים בצוואה (ת"ז של הנכדה ונסח טאבו) ולערוך את הצוואה. לטענתה בנסיבות אלה ההסבר ההגיוני הוא שהמבקשת עשתה פעולות אלה עבור המנוחה (סעיף 25 לסיכומי המתנגדת).</w:t>
      </w:r>
    </w:p>
    <w:p w:rsidR="00021B73" w:rsidRDefault="00021B73" w:rsidP="00021B73">
      <w:pPr>
        <w:pStyle w:val="a9"/>
        <w:numPr>
          <w:ilvl w:val="0"/>
          <w:numId w:val="7"/>
        </w:numPr>
        <w:spacing w:after="120" w:line="360" w:lineRule="auto"/>
        <w:ind w:left="0" w:firstLine="0"/>
        <w:contextualSpacing w:val="0"/>
        <w:jc w:val="both"/>
        <w:rPr>
          <w:rFonts w:ascii="David" w:hAnsi="David"/>
          <w:noProof w:val="0"/>
        </w:rPr>
      </w:pPr>
      <w:r>
        <w:rPr>
          <w:rFonts w:ascii="David" w:hAnsi="David" w:hint="cs"/>
          <w:noProof w:val="0"/>
          <w:rtl/>
        </w:rPr>
        <w:t xml:space="preserve">גם אם אניח שבמקרה שלפניי המבקשת סייעה למנוחה בכל אלה, לא היה בכך די כדי להוכיח שהמבקשת נטלה חלק בעריכת הצוואה באופן כזה המצדיק את ביטולה. כבר נפסק, כי פעולות מסוג </w:t>
      </w:r>
      <w:r w:rsidRPr="005D1F06">
        <w:rPr>
          <w:rFonts w:ascii="David" w:hAnsi="David" w:hint="cs"/>
          <w:noProof w:val="0"/>
          <w:rtl/>
        </w:rPr>
        <w:t>זה אין בהן די כדי להצדיק את ביטול הצוואה. ב</w:t>
      </w:r>
      <w:r>
        <w:rPr>
          <w:rFonts w:ascii="David" w:hAnsi="David" w:hint="cs"/>
          <w:noProof w:val="0"/>
          <w:rtl/>
        </w:rPr>
        <w:t>-</w:t>
      </w:r>
      <w:r w:rsidRPr="005D1F06">
        <w:rPr>
          <w:rFonts w:ascii="David" w:hAnsi="David" w:hint="cs"/>
          <w:noProof w:val="0"/>
          <w:rtl/>
        </w:rPr>
        <w:t xml:space="preserve">עמ"ש (מחוזי י-ם) 13612-12-12 </w:t>
      </w:r>
      <w:r w:rsidRPr="005D1F06">
        <w:rPr>
          <w:rFonts w:ascii="David" w:hAnsi="David"/>
          <w:color w:val="000000"/>
          <w:rtl/>
        </w:rPr>
        <w:t xml:space="preserve"> </w:t>
      </w:r>
      <w:r w:rsidRPr="00CA7866">
        <w:rPr>
          <w:rFonts w:ascii="David" w:hAnsi="David"/>
          <w:b/>
          <w:bCs/>
          <w:color w:val="000000"/>
          <w:rtl/>
        </w:rPr>
        <w:t>יוסרא דרוויש נ' סאמי דרוויש</w:t>
      </w:r>
      <w:r>
        <w:rPr>
          <w:rFonts w:ascii="David" w:hAnsi="David" w:hint="cs"/>
          <w:noProof w:val="0"/>
          <w:rtl/>
        </w:rPr>
        <w:t xml:space="preserve"> (15.7.2013) (להלן: </w:t>
      </w:r>
      <w:r w:rsidRPr="00267E56">
        <w:rPr>
          <w:rFonts w:ascii="David" w:hAnsi="David" w:hint="cs"/>
          <w:b/>
          <w:bCs/>
          <w:noProof w:val="0"/>
          <w:rtl/>
        </w:rPr>
        <w:t>"עניין דרוויש"</w:t>
      </w:r>
      <w:r>
        <w:rPr>
          <w:rFonts w:ascii="David" w:hAnsi="David" w:hint="cs"/>
          <w:noProof w:val="0"/>
          <w:rtl/>
        </w:rPr>
        <w:t xml:space="preserve">) נקבע כך: </w:t>
      </w:r>
    </w:p>
    <w:p w:rsidR="00021B73" w:rsidRPr="005D1F06" w:rsidRDefault="00021B73" w:rsidP="00021B73">
      <w:pPr>
        <w:pStyle w:val="a9"/>
        <w:spacing w:after="240"/>
        <w:ind w:left="708" w:right="851"/>
        <w:contextualSpacing w:val="0"/>
        <w:jc w:val="both"/>
        <w:rPr>
          <w:rFonts w:ascii="David" w:hAnsi="David"/>
          <w:b/>
          <w:bCs/>
          <w:noProof w:val="0"/>
        </w:rPr>
      </w:pPr>
      <w:r w:rsidRPr="005D1F06">
        <w:rPr>
          <w:rFonts w:hint="cs"/>
          <w:b/>
          <w:bCs/>
          <w:noProof w:val="0"/>
          <w:sz w:val="26"/>
          <w:szCs w:val="26"/>
          <w:rtl/>
        </w:rPr>
        <w:t>"</w:t>
      </w:r>
      <w:r w:rsidRPr="005D1F06">
        <w:rPr>
          <w:b/>
          <w:bCs/>
          <w:noProof w:val="0"/>
          <w:sz w:val="26"/>
          <w:szCs w:val="26"/>
          <w:rtl/>
        </w:rPr>
        <w:t>נפסק כי אף במקום שנהנה הזמין את עורך הדין שערך את הצוואה ואף שילם את שכר טרחתו וגם מקום בו תוכנה של הצוואה נמסר לעורך הדין על ידי הנהנה, אין בכך משום נטילת חלק פסול בעריכת הצוואה</w:t>
      </w:r>
      <w:r w:rsidRPr="005D1F06">
        <w:rPr>
          <w:rFonts w:hint="cs"/>
          <w:b/>
          <w:bCs/>
          <w:noProof w:val="0"/>
          <w:sz w:val="26"/>
          <w:szCs w:val="26"/>
          <w:rtl/>
        </w:rPr>
        <w:t xml:space="preserve"> (ע"א 760/86 רוזן נ' שולמן, פ"ד מג(3) 586)</w:t>
      </w:r>
      <w:r w:rsidRPr="005D1F06">
        <w:rPr>
          <w:b/>
          <w:bCs/>
          <w:noProof w:val="0"/>
          <w:sz w:val="26"/>
          <w:szCs w:val="26"/>
          <w:rtl/>
        </w:rPr>
        <w:t>. גם נוכחות הנהנה בעת עשיית הצוואה אינה מלמדת בהכרח על מעורבות העולה כדי נטילת חלק בעריכתה</w:t>
      </w:r>
      <w:r w:rsidRPr="005D1F06">
        <w:rPr>
          <w:rFonts w:hint="cs"/>
          <w:b/>
          <w:bCs/>
          <w:noProof w:val="0"/>
          <w:sz w:val="26"/>
          <w:szCs w:val="26"/>
          <w:rtl/>
        </w:rPr>
        <w:t xml:space="preserve"> (ע"א 6496/98 </w:t>
      </w:r>
      <w:r w:rsidRPr="005D1F06">
        <w:rPr>
          <w:rFonts w:hint="cs"/>
          <w:b/>
          <w:bCs/>
          <w:noProof w:val="0"/>
          <w:sz w:val="26"/>
          <w:szCs w:val="26"/>
          <w:rtl/>
        </w:rPr>
        <w:lastRenderedPageBreak/>
        <w:t>בעניין בוטו; ע"מ (נצ') שרוני נ' חג'ג'</w:t>
      </w:r>
      <w:r w:rsidRPr="005D1F06">
        <w:rPr>
          <w:b/>
          <w:bCs/>
          <w:noProof w:val="0"/>
          <w:sz w:val="26"/>
          <w:szCs w:val="26"/>
          <w:rtl/>
        </w:rPr>
        <w:t xml:space="preserve"> </w:t>
      </w:r>
      <w:r w:rsidRPr="005D1F06">
        <w:rPr>
          <w:b/>
          <w:bCs/>
          <w:noProof w:val="0"/>
          <w:sz w:val="22"/>
          <w:rtl/>
        </w:rPr>
        <w:t xml:space="preserve">[פורסם בנבו] </w:t>
      </w:r>
      <w:r w:rsidRPr="005D1F06">
        <w:rPr>
          <w:b/>
          <w:bCs/>
          <w:noProof w:val="0"/>
          <w:sz w:val="26"/>
          <w:szCs w:val="26"/>
          <w:rtl/>
        </w:rPr>
        <w:t xml:space="preserve">מיום 6.07.08; שוחט, בעמ' 112-111). כך גם נפסק </w:t>
      </w:r>
      <w:r w:rsidRPr="005D1F06">
        <w:rPr>
          <w:rFonts w:ascii="Arial" w:hAnsi="Arial"/>
          <w:b/>
          <w:bCs/>
          <w:noProof w:val="0"/>
          <w:sz w:val="26"/>
          <w:szCs w:val="26"/>
          <w:rtl/>
        </w:rPr>
        <w:t xml:space="preserve">כי פעולת שליחות עבור המצווה הנוגעת לעריכת הצוואה, כגון התקשרות עם עו"ד בנוגע לעריכתה, או שיחות עם המצווה טרם עריכת הצוואה, אינן נכנסות לגדרו של </w:t>
      </w:r>
      <w:r w:rsidRPr="005D1F06">
        <w:rPr>
          <w:rFonts w:ascii="Arial" w:hAnsi="Arial" w:hint="cs"/>
          <w:b/>
          <w:bCs/>
          <w:noProof w:val="0"/>
          <w:sz w:val="26"/>
          <w:szCs w:val="26"/>
          <w:rtl/>
        </w:rPr>
        <w:t>סעיף 35 לחוק (ע"א 6496/98 בעניין בוטו; ע"א 433/77 בעניין הררי)"</w:t>
      </w:r>
      <w:r w:rsidRPr="005D1F06">
        <w:rPr>
          <w:rFonts w:ascii="Arial" w:hAnsi="Arial"/>
          <w:b/>
          <w:bCs/>
          <w:noProof w:val="0"/>
          <w:sz w:val="26"/>
          <w:szCs w:val="26"/>
          <w:rtl/>
        </w:rPr>
        <w:t>.</w:t>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sidRPr="005D1F06">
        <w:rPr>
          <w:rFonts w:ascii="David" w:hAnsi="David" w:hint="cs"/>
          <w:noProof w:val="0"/>
          <w:rtl/>
        </w:rPr>
        <w:t xml:space="preserve"> עם זאת, על</w:t>
      </w:r>
      <w:r>
        <w:rPr>
          <w:rFonts w:ascii="David" w:hAnsi="David" w:hint="cs"/>
          <w:noProof w:val="0"/>
          <w:rtl/>
        </w:rPr>
        <w:t xml:space="preserve"> מנת לעשות מלאכתי שלמה אבחן כל אחת מהטענות בנפרד.  </w:t>
      </w:r>
    </w:p>
    <w:p w:rsidR="00021B73" w:rsidRPr="008735D7" w:rsidRDefault="00021B73" w:rsidP="00021B73">
      <w:pPr>
        <w:pStyle w:val="a9"/>
        <w:spacing w:after="240" w:line="360" w:lineRule="auto"/>
        <w:ind w:left="0"/>
        <w:contextualSpacing w:val="0"/>
        <w:jc w:val="both"/>
        <w:rPr>
          <w:rFonts w:ascii="David" w:hAnsi="David"/>
          <w:b/>
          <w:bCs/>
          <w:noProof w:val="0"/>
          <w:sz w:val="28"/>
          <w:szCs w:val="28"/>
          <w:u w:val="single"/>
        </w:rPr>
      </w:pPr>
      <w:r w:rsidRPr="008735D7">
        <w:rPr>
          <w:rFonts w:ascii="David" w:hAnsi="David" w:hint="cs"/>
          <w:b/>
          <w:bCs/>
          <w:noProof w:val="0"/>
          <w:sz w:val="28"/>
          <w:szCs w:val="28"/>
          <w:u w:val="single"/>
          <w:rtl/>
        </w:rPr>
        <w:t>יצירת קשר עם עורך הדין אשר ערך את הצוואה</w:t>
      </w:r>
    </w:p>
    <w:p w:rsidR="00021B73" w:rsidRDefault="00021B73" w:rsidP="00021B73">
      <w:pPr>
        <w:pStyle w:val="a9"/>
        <w:numPr>
          <w:ilvl w:val="0"/>
          <w:numId w:val="7"/>
        </w:numPr>
        <w:spacing w:after="120" w:line="360" w:lineRule="auto"/>
        <w:ind w:left="0" w:firstLine="0"/>
        <w:contextualSpacing w:val="0"/>
        <w:jc w:val="both"/>
        <w:rPr>
          <w:rFonts w:ascii="David" w:hAnsi="David"/>
          <w:noProof w:val="0"/>
        </w:rPr>
      </w:pPr>
      <w:r>
        <w:rPr>
          <w:rFonts w:ascii="David" w:hAnsi="David" w:hint="cs"/>
          <w:noProof w:val="0"/>
          <w:rtl/>
        </w:rPr>
        <w:t xml:space="preserve">המבקשת העידה, כי קודם לעריכת הצוואה המנוחה פנתה אליה בבקשה שתפנה אותה לעורך דין לצורך עריכת צוואה. לטענת המבקשת היא סירבה לכך, וכי בתחושתה האישית נכון לאותה העת הרגישה שמוקדם מידי בשביל המנוחה לעסוק בעניינים שכאלה, ומבחינתה </w:t>
      </w:r>
      <w:r w:rsidRPr="00530ABA">
        <w:rPr>
          <w:rFonts w:ascii="David" w:hAnsi="David" w:hint="cs"/>
          <w:b/>
          <w:bCs/>
          <w:noProof w:val="0"/>
          <w:rtl/>
        </w:rPr>
        <w:t>"צוואה הייתה מילה גסה"</w:t>
      </w:r>
      <w:r>
        <w:rPr>
          <w:rFonts w:ascii="David" w:hAnsi="David" w:hint="cs"/>
          <w:noProof w:val="0"/>
          <w:rtl/>
        </w:rPr>
        <w:t xml:space="preserve"> (פרוטוקול הדיון בעמ' 100, שו' 10-2). ובהמשך העידה כי המנוחה סיפרה לה שאח של הספר שלה הוא עורך דין (פרוטוקול הדיון בעמ' 103, שו' 21-4):</w:t>
      </w:r>
    </w:p>
    <w:p w:rsidR="00021B73" w:rsidRDefault="00605689" w:rsidP="00021B73">
      <w:pPr>
        <w:pStyle w:val="a9"/>
        <w:spacing w:after="120" w:line="360" w:lineRule="auto"/>
        <w:ind w:left="0"/>
        <w:contextualSpacing w:val="0"/>
        <w:jc w:val="both"/>
        <w:rPr>
          <w:rFonts w:ascii="David" w:hAnsi="David"/>
          <w:noProof w:val="0"/>
        </w:rPr>
      </w:pPr>
      <w:r w:rsidRPr="00605689">
        <w:rPr>
          <w:rFonts w:ascii="David" w:hAnsi="David"/>
          <w:rtl/>
        </w:rPr>
        <w:drawing>
          <wp:inline distT="0" distB="0" distL="0" distR="0" wp14:anchorId="3040A87E" wp14:editId="11636952">
            <wp:extent cx="5325218" cy="4391638"/>
            <wp:effectExtent l="0" t="0" r="8890" b="9525"/>
            <wp:docPr id="203" name="תמונה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25218" cy="4391638"/>
                    </a:xfrm>
                    <a:prstGeom prst="rect">
                      <a:avLst/>
                    </a:prstGeom>
                  </pic:spPr>
                </pic:pic>
              </a:graphicData>
            </a:graphic>
          </wp:inline>
        </w:drawing>
      </w:r>
    </w:p>
    <w:p w:rsidR="00021B73" w:rsidRDefault="00021B73" w:rsidP="00605689">
      <w:pPr>
        <w:pStyle w:val="a9"/>
        <w:numPr>
          <w:ilvl w:val="0"/>
          <w:numId w:val="7"/>
        </w:numPr>
        <w:spacing w:after="120" w:line="360" w:lineRule="auto"/>
        <w:ind w:left="0" w:firstLine="0"/>
        <w:contextualSpacing w:val="0"/>
        <w:jc w:val="both"/>
        <w:rPr>
          <w:rFonts w:ascii="David" w:hAnsi="David"/>
          <w:noProof w:val="0"/>
        </w:rPr>
      </w:pPr>
      <w:r>
        <w:rPr>
          <w:rFonts w:ascii="David" w:hAnsi="David" w:hint="cs"/>
          <w:noProof w:val="0"/>
          <w:rtl/>
        </w:rPr>
        <w:lastRenderedPageBreak/>
        <w:t xml:space="preserve">עו"ד </w:t>
      </w:r>
      <w:r w:rsidR="00605689">
        <w:rPr>
          <w:rFonts w:ascii="David" w:hAnsi="David" w:hint="cs"/>
          <w:noProof w:val="0"/>
          <w:rtl/>
        </w:rPr>
        <w:t>ש'</w:t>
      </w:r>
      <w:r>
        <w:rPr>
          <w:rFonts w:ascii="David" w:hAnsi="David" w:hint="cs"/>
          <w:noProof w:val="0"/>
          <w:rtl/>
        </w:rPr>
        <w:t xml:space="preserve"> אישרה בחקירתה, כי ידוע לה שאחיו של עו"ד </w:t>
      </w:r>
      <w:r w:rsidR="00605689">
        <w:rPr>
          <w:rFonts w:ascii="David" w:hAnsi="David" w:hint="cs"/>
          <w:noProof w:val="0"/>
          <w:rtl/>
        </w:rPr>
        <w:t>אי'</w:t>
      </w:r>
      <w:r>
        <w:rPr>
          <w:rFonts w:ascii="David" w:hAnsi="David" w:hint="cs"/>
          <w:noProof w:val="0"/>
          <w:rtl/>
        </w:rPr>
        <w:t xml:space="preserve"> הוא ספר במקצועו (פרוטוקול הדיון בעמ' 25, שו' 15-11):</w:t>
      </w:r>
    </w:p>
    <w:p w:rsidR="00021B73" w:rsidRDefault="00605689" w:rsidP="00021B73">
      <w:pPr>
        <w:pStyle w:val="a9"/>
        <w:spacing w:after="120" w:line="360" w:lineRule="auto"/>
        <w:ind w:left="0"/>
        <w:contextualSpacing w:val="0"/>
        <w:jc w:val="both"/>
        <w:rPr>
          <w:rFonts w:ascii="David" w:hAnsi="David"/>
          <w:noProof w:val="0"/>
        </w:rPr>
      </w:pPr>
      <w:r w:rsidRPr="00605689">
        <w:rPr>
          <w:rFonts w:ascii="David" w:hAnsi="David"/>
          <w:rtl/>
        </w:rPr>
        <w:drawing>
          <wp:inline distT="0" distB="0" distL="0" distR="0" wp14:anchorId="04E7634B" wp14:editId="15A43C02">
            <wp:extent cx="5287113" cy="1438476"/>
            <wp:effectExtent l="0" t="0" r="0" b="9525"/>
            <wp:docPr id="204" name="תמונה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87113" cy="1438476"/>
                    </a:xfrm>
                    <a:prstGeom prst="rect">
                      <a:avLst/>
                    </a:prstGeom>
                  </pic:spPr>
                </pic:pic>
              </a:graphicData>
            </a:graphic>
          </wp:inline>
        </w:drawing>
      </w:r>
    </w:p>
    <w:p w:rsidR="00021B73" w:rsidRPr="0066473A" w:rsidRDefault="00021B73" w:rsidP="00BC26A1">
      <w:pPr>
        <w:pStyle w:val="a9"/>
        <w:numPr>
          <w:ilvl w:val="0"/>
          <w:numId w:val="7"/>
        </w:numPr>
        <w:spacing w:after="240" w:line="360" w:lineRule="auto"/>
        <w:ind w:left="0" w:firstLine="0"/>
        <w:contextualSpacing w:val="0"/>
        <w:jc w:val="both"/>
        <w:rPr>
          <w:rFonts w:ascii="David" w:hAnsi="David"/>
          <w:noProof w:val="0"/>
        </w:rPr>
      </w:pPr>
      <w:r w:rsidRPr="0066473A">
        <w:rPr>
          <w:rFonts w:ascii="David" w:hAnsi="David" w:hint="cs"/>
          <w:noProof w:val="0"/>
          <w:rtl/>
        </w:rPr>
        <w:t xml:space="preserve">אם כך, לא מן הנמנע כי המנוחה החליטה לפנות למשרדו של עו"ד </w:t>
      </w:r>
      <w:r w:rsidR="00605689">
        <w:rPr>
          <w:rFonts w:ascii="David" w:hAnsi="David" w:hint="cs"/>
          <w:noProof w:val="0"/>
          <w:rtl/>
        </w:rPr>
        <w:t xml:space="preserve">אי' </w:t>
      </w:r>
      <w:r w:rsidRPr="0066473A">
        <w:rPr>
          <w:rFonts w:ascii="David" w:hAnsi="David" w:hint="cs"/>
          <w:noProof w:val="0"/>
          <w:rtl/>
        </w:rPr>
        <w:t xml:space="preserve">לצורך עריכת הצוואה לאחר שפרטיו הועברה לה מאותו ספר. בין כך ובין כך, לא הוכח כי המבקשת הייתה זו שהפנתה את המנוחה למשרדו של עו"ד </w:t>
      </w:r>
      <w:r w:rsidR="00BC26A1">
        <w:rPr>
          <w:rFonts w:ascii="David" w:hAnsi="David" w:hint="cs"/>
          <w:noProof w:val="0"/>
          <w:rtl/>
        </w:rPr>
        <w:t>אי'</w:t>
      </w:r>
      <w:r w:rsidRPr="0066473A">
        <w:rPr>
          <w:rFonts w:ascii="David" w:hAnsi="David" w:hint="cs"/>
          <w:noProof w:val="0"/>
          <w:rtl/>
        </w:rPr>
        <w:t xml:space="preserve"> ואין הכרח שכך היה. </w:t>
      </w:r>
    </w:p>
    <w:p w:rsidR="00021B73" w:rsidRPr="000935C0" w:rsidRDefault="00021B73" w:rsidP="00605689">
      <w:pPr>
        <w:numPr>
          <w:ilvl w:val="0"/>
          <w:numId w:val="7"/>
        </w:numPr>
        <w:spacing w:after="240" w:line="360" w:lineRule="auto"/>
        <w:ind w:left="0" w:firstLine="0"/>
        <w:jc w:val="both"/>
        <w:rPr>
          <w:noProof w:val="0"/>
        </w:rPr>
      </w:pPr>
      <w:r>
        <w:rPr>
          <w:rFonts w:ascii="David" w:hAnsi="David" w:hint="cs"/>
          <w:rtl/>
        </w:rPr>
        <w:t>לא למותר לציין כי עו"ד</w:t>
      </w:r>
      <w:r w:rsidR="00605689">
        <w:rPr>
          <w:rFonts w:ascii="David" w:hAnsi="David" w:hint="cs"/>
          <w:rtl/>
        </w:rPr>
        <w:t xml:space="preserve"> אי'</w:t>
      </w:r>
      <w:r>
        <w:rPr>
          <w:rFonts w:ascii="David" w:hAnsi="David" w:hint="cs"/>
          <w:rtl/>
        </w:rPr>
        <w:t xml:space="preserve"> לא הוזמן להעיד, חרף העובדה כי יתכן ויכול היה לשפוך אור לפחות לגבי ההתקשרות עם המנוחה לעריכת הצוואה. </w:t>
      </w:r>
      <w:r>
        <w:rPr>
          <w:rFonts w:ascii="David" w:hAnsi="David"/>
          <w:rtl/>
        </w:rPr>
        <w:t>אי הבאת עד כזה יוצרת הנחה לרעת הצד שאמור היה להזמינו, לפיה עדותו הייתה עלולה לחזק את עמדת הצד שכנגד. אולם זוהי הנחה שניתנת לסתירה (</w:t>
      </w:r>
      <w:r>
        <w:rPr>
          <w:rFonts w:ascii="Calibri" w:hAnsi="Calibri"/>
          <w:rtl/>
        </w:rPr>
        <w:t xml:space="preserve">ע"א 465/88 </w:t>
      </w:r>
      <w:r>
        <w:rPr>
          <w:rFonts w:ascii="Calibri" w:hAnsi="Calibri"/>
          <w:b/>
          <w:bCs/>
          <w:rtl/>
        </w:rPr>
        <w:t>הבנק למימון ולסחר בע"מ נ' סלימה מתתיהו</w:t>
      </w:r>
      <w:r>
        <w:rPr>
          <w:rFonts w:ascii="Calibri" w:hAnsi="Calibri"/>
          <w:rtl/>
        </w:rPr>
        <w:t>, פ"ד מה(4) 651 (1991)).</w:t>
      </w:r>
      <w:r>
        <w:rPr>
          <w:noProof w:val="0"/>
          <w:rtl/>
        </w:rPr>
        <w:t xml:space="preserve"> הנה כי כן, </w:t>
      </w:r>
      <w:r>
        <w:rPr>
          <w:rFonts w:hint="cs"/>
          <w:noProof w:val="0"/>
          <w:rtl/>
        </w:rPr>
        <w:t xml:space="preserve">נמצא כי </w:t>
      </w:r>
      <w:r>
        <w:rPr>
          <w:noProof w:val="0"/>
          <w:rtl/>
        </w:rPr>
        <w:t xml:space="preserve">אי זימונו של </w:t>
      </w:r>
      <w:r w:rsidR="00605689">
        <w:rPr>
          <w:rFonts w:hint="cs"/>
          <w:noProof w:val="0"/>
          <w:rtl/>
        </w:rPr>
        <w:t>עו"ד אי'</w:t>
      </w:r>
      <w:r>
        <w:rPr>
          <w:noProof w:val="0"/>
          <w:rtl/>
        </w:rPr>
        <w:t xml:space="preserve"> להעיד נזקף לחובתה של המתנגדת.</w:t>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t xml:space="preserve">יתרה מזו, גם לו הייתה עושה כן, לא היה בכך כדי להעיד בהכרח על מעורבות המבקשת בעריכת הצוואה באופן שמצדיק את ביטולה. </w:t>
      </w:r>
    </w:p>
    <w:p w:rsidR="00021B73" w:rsidRPr="008735D7" w:rsidRDefault="00021B73" w:rsidP="00021B73">
      <w:pPr>
        <w:pStyle w:val="a9"/>
        <w:spacing w:after="120" w:line="360" w:lineRule="auto"/>
        <w:ind w:left="0"/>
        <w:contextualSpacing w:val="0"/>
        <w:jc w:val="both"/>
        <w:rPr>
          <w:rFonts w:ascii="David" w:hAnsi="David"/>
          <w:b/>
          <w:bCs/>
          <w:noProof w:val="0"/>
          <w:sz w:val="28"/>
          <w:szCs w:val="28"/>
          <w:u w:val="single"/>
        </w:rPr>
      </w:pPr>
      <w:r w:rsidRPr="008735D7">
        <w:rPr>
          <w:rFonts w:ascii="David" w:hAnsi="David" w:hint="cs"/>
          <w:b/>
          <w:bCs/>
          <w:noProof w:val="0"/>
          <w:sz w:val="28"/>
          <w:szCs w:val="28"/>
          <w:u w:val="single"/>
          <w:rtl/>
        </w:rPr>
        <w:t>הגעתה של המנוחה למשרד עורך הדין</w:t>
      </w:r>
    </w:p>
    <w:p w:rsidR="00021B73" w:rsidRDefault="00021B73" w:rsidP="00605689">
      <w:pPr>
        <w:pStyle w:val="a9"/>
        <w:numPr>
          <w:ilvl w:val="0"/>
          <w:numId w:val="7"/>
        </w:numPr>
        <w:spacing w:after="120" w:line="360" w:lineRule="auto"/>
        <w:ind w:left="0" w:firstLine="0"/>
        <w:contextualSpacing w:val="0"/>
        <w:jc w:val="both"/>
        <w:rPr>
          <w:rFonts w:ascii="David" w:hAnsi="David"/>
          <w:noProof w:val="0"/>
        </w:rPr>
      </w:pPr>
      <w:r>
        <w:rPr>
          <w:rFonts w:ascii="David" w:hAnsi="David" w:hint="cs"/>
          <w:noProof w:val="0"/>
          <w:rtl/>
        </w:rPr>
        <w:t xml:space="preserve">בחקירתה עמדה על כך המבקשת, כי היא לא </w:t>
      </w:r>
      <w:r w:rsidR="00605689">
        <w:rPr>
          <w:rFonts w:ascii="David" w:hAnsi="David" w:hint="cs"/>
          <w:noProof w:val="0"/>
          <w:rtl/>
        </w:rPr>
        <w:t>הסיעה את המנוחה למשרדו של עו"ד אי'</w:t>
      </w:r>
      <w:r>
        <w:rPr>
          <w:rFonts w:ascii="David" w:hAnsi="David" w:hint="cs"/>
          <w:noProof w:val="0"/>
          <w:rtl/>
        </w:rPr>
        <w:t xml:space="preserve"> וכי המנוחה לא ביקשה ממנה לעשות כן. המנוחה ביקשה ממנה רק להגיע ולאסוף אותה וכך עשתה (פרוטוקול הדיון בעמ' 106, שו' 21-18):</w:t>
      </w:r>
    </w:p>
    <w:p w:rsidR="00021B73" w:rsidRDefault="00021B73" w:rsidP="00021B73">
      <w:pPr>
        <w:pStyle w:val="a9"/>
        <w:spacing w:after="120" w:line="360" w:lineRule="auto"/>
        <w:ind w:left="0"/>
        <w:contextualSpacing w:val="0"/>
        <w:jc w:val="both"/>
        <w:rPr>
          <w:rFonts w:ascii="David" w:hAnsi="David"/>
          <w:noProof w:val="0"/>
        </w:rPr>
      </w:pPr>
      <w:r w:rsidRPr="00D841FD">
        <w:rPr>
          <w:rFonts w:ascii="David" w:hAnsi="David"/>
          <w:rtl/>
        </w:rPr>
        <w:drawing>
          <wp:inline distT="0" distB="0" distL="0" distR="0" wp14:anchorId="78A73376" wp14:editId="416E2DD4">
            <wp:extent cx="5362575" cy="1078302"/>
            <wp:effectExtent l="0" t="0" r="0" b="7620"/>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370567" cy="1079909"/>
                    </a:xfrm>
                    <a:prstGeom prst="rect">
                      <a:avLst/>
                    </a:prstGeom>
                    <a:noFill/>
                    <a:ln>
                      <a:noFill/>
                    </a:ln>
                  </pic:spPr>
                </pic:pic>
              </a:graphicData>
            </a:graphic>
          </wp:inline>
        </w:drawing>
      </w:r>
    </w:p>
    <w:p w:rsidR="00021B73" w:rsidRPr="0053764A" w:rsidRDefault="00021B73" w:rsidP="00605689">
      <w:pPr>
        <w:pStyle w:val="a9"/>
        <w:numPr>
          <w:ilvl w:val="0"/>
          <w:numId w:val="7"/>
        </w:numPr>
        <w:spacing w:after="240" w:line="360" w:lineRule="auto"/>
        <w:ind w:left="0" w:firstLine="0"/>
        <w:contextualSpacing w:val="0"/>
        <w:jc w:val="both"/>
        <w:rPr>
          <w:rFonts w:ascii="David" w:hAnsi="David"/>
          <w:noProof w:val="0"/>
        </w:rPr>
      </w:pPr>
      <w:r w:rsidRPr="007E21EA">
        <w:rPr>
          <w:rFonts w:ascii="David" w:hAnsi="David" w:hint="cs"/>
          <w:noProof w:val="0"/>
          <w:rtl/>
        </w:rPr>
        <w:lastRenderedPageBreak/>
        <w:t xml:space="preserve">לטענת המתנגדת לא יתכן שהמנוחה הגיעה למשרדו של עו"ד </w:t>
      </w:r>
      <w:r w:rsidR="00605689">
        <w:rPr>
          <w:rFonts w:ascii="David" w:hAnsi="David" w:hint="cs"/>
          <w:noProof w:val="0"/>
          <w:rtl/>
        </w:rPr>
        <w:t>אי'</w:t>
      </w:r>
      <w:r w:rsidRPr="007E21EA">
        <w:rPr>
          <w:rFonts w:ascii="David" w:hAnsi="David" w:hint="cs"/>
          <w:noProof w:val="0"/>
          <w:rtl/>
        </w:rPr>
        <w:t xml:space="preserve"> בכוחות עצמה, וכי </w:t>
      </w:r>
      <w:r w:rsidRPr="0053764A">
        <w:rPr>
          <w:rFonts w:ascii="David" w:hAnsi="David" w:hint="cs"/>
          <w:noProof w:val="0"/>
          <w:rtl/>
        </w:rPr>
        <w:t xml:space="preserve">באותו מועד הייתה זקוקה לסיוע כדי לצאת מביתה, אשר נמצא בקומה שלישית, ללא מעלית. מנגד, טענה המבקשת כי במועד הרלוונטי הייתה המנוחה יוצאת מביתה ללא סיוע, וזאת למורת רוחה (פרוטוקול הדיון בעמ' 143, שו' 12 </w:t>
      </w:r>
      <w:r w:rsidRPr="0053764A">
        <w:rPr>
          <w:rFonts w:ascii="David" w:hAnsi="David"/>
          <w:noProof w:val="0"/>
          <w:rtl/>
        </w:rPr>
        <w:t>–</w:t>
      </w:r>
      <w:r w:rsidRPr="0053764A">
        <w:rPr>
          <w:rFonts w:ascii="David" w:hAnsi="David" w:hint="cs"/>
          <w:noProof w:val="0"/>
          <w:rtl/>
        </w:rPr>
        <w:t xml:space="preserve"> עמ' 144, שו' 7). </w:t>
      </w:r>
    </w:p>
    <w:p w:rsidR="00021B73" w:rsidRPr="00D174A0" w:rsidRDefault="00021B73" w:rsidP="00021B73">
      <w:pPr>
        <w:pStyle w:val="a9"/>
        <w:numPr>
          <w:ilvl w:val="0"/>
          <w:numId w:val="7"/>
        </w:numPr>
        <w:spacing w:after="240" w:line="360" w:lineRule="auto"/>
        <w:ind w:left="0" w:firstLine="0"/>
        <w:contextualSpacing w:val="0"/>
        <w:jc w:val="both"/>
        <w:rPr>
          <w:rFonts w:ascii="David" w:hAnsi="David"/>
          <w:noProof w:val="0"/>
        </w:rPr>
      </w:pPr>
      <w:r w:rsidRPr="0053764A">
        <w:rPr>
          <w:rFonts w:ascii="David" w:hAnsi="David" w:hint="cs"/>
          <w:noProof w:val="0"/>
          <w:rtl/>
        </w:rPr>
        <w:t>מהמסמכים הרפואיים בעניינה של המנוחה עולה</w:t>
      </w:r>
      <w:r>
        <w:rPr>
          <w:rFonts w:ascii="David" w:hAnsi="David" w:hint="cs"/>
          <w:noProof w:val="0"/>
          <w:rtl/>
        </w:rPr>
        <w:t>,</w:t>
      </w:r>
      <w:r w:rsidRPr="0053764A">
        <w:rPr>
          <w:rFonts w:ascii="David" w:hAnsi="David" w:hint="cs"/>
          <w:noProof w:val="0"/>
          <w:rtl/>
        </w:rPr>
        <w:t xml:space="preserve"> כי החל משנת 2009 החלה המנוחה להתלונן על כך ש</w:t>
      </w:r>
      <w:r>
        <w:rPr>
          <w:rFonts w:ascii="David" w:hAnsi="David" w:hint="cs"/>
          <w:noProof w:val="0"/>
          <w:rtl/>
        </w:rPr>
        <w:t xml:space="preserve">היא </w:t>
      </w:r>
      <w:r w:rsidRPr="0053764A">
        <w:rPr>
          <w:rFonts w:ascii="David" w:hAnsi="David" w:hint="cs"/>
          <w:noProof w:val="0"/>
          <w:rtl/>
        </w:rPr>
        <w:t xml:space="preserve">סובלת מ"סחרחורות וחוסר יציבות בהליכה" (נספח 4 לתצהיר עדותה הראשית של המתנגדת </w:t>
      </w:r>
      <w:r w:rsidRPr="0053764A">
        <w:rPr>
          <w:rFonts w:ascii="David" w:hAnsi="David"/>
          <w:noProof w:val="0"/>
          <w:rtl/>
        </w:rPr>
        <w:t>–</w:t>
      </w:r>
      <w:r w:rsidRPr="0053764A">
        <w:rPr>
          <w:rFonts w:ascii="David" w:hAnsi="David" w:hint="cs"/>
          <w:noProof w:val="0"/>
          <w:rtl/>
        </w:rPr>
        <w:t xml:space="preserve"> אישור רפואי מיום 16.10.2009). בעיה זו המשיכה ללוות את המנוחה</w:t>
      </w:r>
      <w:r>
        <w:rPr>
          <w:rFonts w:ascii="David" w:hAnsi="David" w:hint="cs"/>
          <w:noProof w:val="0"/>
          <w:rtl/>
        </w:rPr>
        <w:t xml:space="preserve">. </w:t>
      </w:r>
      <w:r w:rsidRPr="0053764A">
        <w:rPr>
          <w:rFonts w:ascii="David" w:hAnsi="David" w:hint="cs"/>
          <w:noProof w:val="0"/>
          <w:rtl/>
        </w:rPr>
        <w:t xml:space="preserve">בקירוב למועד </w:t>
      </w:r>
      <w:r>
        <w:rPr>
          <w:rFonts w:ascii="David" w:hAnsi="David" w:hint="cs"/>
          <w:noProof w:val="0"/>
          <w:rtl/>
        </w:rPr>
        <w:t>עריכת הצוואה</w:t>
      </w:r>
      <w:r w:rsidRPr="0053764A">
        <w:rPr>
          <w:rFonts w:ascii="David" w:hAnsi="David" w:hint="cs"/>
          <w:noProof w:val="0"/>
          <w:rtl/>
        </w:rPr>
        <w:t xml:space="preserve"> חלה החמרה</w:t>
      </w:r>
      <w:r>
        <w:rPr>
          <w:rFonts w:ascii="David" w:hAnsi="David" w:hint="cs"/>
          <w:noProof w:val="0"/>
          <w:rtl/>
        </w:rPr>
        <w:t xml:space="preserve"> במצבה הבריאותי,</w:t>
      </w:r>
      <w:r w:rsidRPr="0053764A">
        <w:rPr>
          <w:rFonts w:ascii="David" w:hAnsi="David" w:hint="cs"/>
          <w:noProof w:val="0"/>
          <w:rtl/>
        </w:rPr>
        <w:t xml:space="preserve"> והמנוחה כבר החלה לסבול מקושי של ממש בהליכה וחוותה מספר נפילות (מסמכים רפואיים מהימים 6.5.2013, 27.6.2013 ו-17.10.2013 כמפורט בסעיפים 13-12, בעמ' 4 לחוות הדעת תחת החלק של התיעוד הרפואי הרלוונטי). עם זאת, במועד הרלוונטי ואף לאחריו התגוררה המנוחה לבדה והייתה עצמאית בביתה, אם כי החלה לנוע באיטיות (מסמך רפואי מיום 9.4.2014 כמפורט בסעיף 6, בעמ' 6 לחוות הדעת).</w:t>
      </w:r>
    </w:p>
    <w:p w:rsidR="00021B73" w:rsidRPr="00C1239E" w:rsidRDefault="00021B73" w:rsidP="00605689">
      <w:pPr>
        <w:pStyle w:val="a9"/>
        <w:numPr>
          <w:ilvl w:val="0"/>
          <w:numId w:val="7"/>
        </w:numPr>
        <w:spacing w:after="120" w:line="360" w:lineRule="auto"/>
        <w:ind w:left="0" w:firstLine="0"/>
        <w:contextualSpacing w:val="0"/>
        <w:jc w:val="both"/>
        <w:rPr>
          <w:rFonts w:ascii="David" w:hAnsi="David"/>
          <w:noProof w:val="0"/>
        </w:rPr>
      </w:pPr>
      <w:r w:rsidRPr="0053764A">
        <w:rPr>
          <w:rFonts w:ascii="David" w:hAnsi="David" w:hint="cs"/>
          <w:noProof w:val="0"/>
          <w:rtl/>
        </w:rPr>
        <w:t xml:space="preserve">מעדותה של עו"ד </w:t>
      </w:r>
      <w:r w:rsidR="00605689">
        <w:rPr>
          <w:rFonts w:ascii="David" w:hAnsi="David" w:hint="cs"/>
          <w:noProof w:val="0"/>
          <w:rtl/>
        </w:rPr>
        <w:t>ש'</w:t>
      </w:r>
      <w:r w:rsidRPr="0053764A">
        <w:rPr>
          <w:rFonts w:ascii="David" w:hAnsi="David" w:hint="cs"/>
          <w:noProof w:val="0"/>
          <w:rtl/>
        </w:rPr>
        <w:t xml:space="preserve"> עולה</w:t>
      </w:r>
      <w:r>
        <w:rPr>
          <w:rFonts w:ascii="David" w:hAnsi="David" w:hint="cs"/>
          <w:noProof w:val="0"/>
          <w:rtl/>
        </w:rPr>
        <w:t>,</w:t>
      </w:r>
      <w:r w:rsidRPr="0053764A">
        <w:rPr>
          <w:rFonts w:ascii="David" w:hAnsi="David" w:hint="cs"/>
          <w:noProof w:val="0"/>
          <w:rtl/>
        </w:rPr>
        <w:t xml:space="preserve"> כי כדי להגיע למשרדו של עו"ד </w:t>
      </w:r>
      <w:r w:rsidR="00605689">
        <w:rPr>
          <w:rFonts w:ascii="David" w:hAnsi="David" w:hint="cs"/>
          <w:noProof w:val="0"/>
          <w:rtl/>
        </w:rPr>
        <w:t>אי'</w:t>
      </w:r>
      <w:r w:rsidRPr="0053764A">
        <w:rPr>
          <w:rFonts w:ascii="David" w:hAnsi="David" w:hint="cs"/>
          <w:noProof w:val="0"/>
          <w:rtl/>
        </w:rPr>
        <w:t xml:space="preserve"> יש צורך לעלות במדרגות (</w:t>
      </w:r>
      <w:r w:rsidRPr="0053764A">
        <w:rPr>
          <w:rFonts w:eastAsia="Calibri" w:hint="cs"/>
          <w:rtl/>
        </w:rPr>
        <w:t>פרוטוקול</w:t>
      </w:r>
      <w:r>
        <w:rPr>
          <w:rFonts w:eastAsia="Calibri" w:hint="cs"/>
          <w:rtl/>
        </w:rPr>
        <w:t xml:space="preserve"> הדיון בעמ' 13, שו' 15-9):</w:t>
      </w:r>
    </w:p>
    <w:p w:rsidR="00021B73" w:rsidRPr="00267E56" w:rsidRDefault="00605689" w:rsidP="00021B73">
      <w:pPr>
        <w:pStyle w:val="a9"/>
        <w:spacing w:after="240" w:line="360" w:lineRule="auto"/>
        <w:ind w:left="0"/>
        <w:contextualSpacing w:val="0"/>
        <w:jc w:val="both"/>
        <w:rPr>
          <w:rFonts w:ascii="David" w:hAnsi="David"/>
          <w:noProof w:val="0"/>
        </w:rPr>
      </w:pPr>
      <w:r w:rsidRPr="00605689">
        <w:rPr>
          <w:rFonts w:ascii="David" w:hAnsi="David"/>
          <w:rtl/>
        </w:rPr>
        <w:drawing>
          <wp:inline distT="0" distB="0" distL="0" distR="0" wp14:anchorId="06D5A103" wp14:editId="441E1701">
            <wp:extent cx="5268060" cy="1943371"/>
            <wp:effectExtent l="0" t="0" r="8890" b="0"/>
            <wp:docPr id="205" name="תמונה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68060" cy="1943371"/>
                    </a:xfrm>
                    <a:prstGeom prst="rect">
                      <a:avLst/>
                    </a:prstGeom>
                  </pic:spPr>
                </pic:pic>
              </a:graphicData>
            </a:graphic>
          </wp:inline>
        </w:drawing>
      </w:r>
    </w:p>
    <w:p w:rsidR="00021B73" w:rsidRPr="00267E56" w:rsidRDefault="00021B73" w:rsidP="00021B73">
      <w:pPr>
        <w:pStyle w:val="a9"/>
        <w:numPr>
          <w:ilvl w:val="0"/>
          <w:numId w:val="7"/>
        </w:numPr>
        <w:spacing w:after="240" w:line="360" w:lineRule="auto"/>
        <w:ind w:left="0" w:firstLine="0"/>
        <w:contextualSpacing w:val="0"/>
        <w:jc w:val="both"/>
        <w:rPr>
          <w:rFonts w:ascii="David" w:hAnsi="David"/>
          <w:noProof w:val="0"/>
        </w:rPr>
      </w:pPr>
      <w:r w:rsidRPr="00267E56">
        <w:rPr>
          <w:rFonts w:ascii="David" w:hAnsi="David" w:hint="cs"/>
          <w:noProof w:val="0"/>
          <w:rtl/>
        </w:rPr>
        <w:t>המבקשת העידה</w:t>
      </w:r>
      <w:r>
        <w:rPr>
          <w:rFonts w:ascii="David" w:hAnsi="David" w:hint="cs"/>
          <w:noProof w:val="0"/>
          <w:rtl/>
        </w:rPr>
        <w:t>,</w:t>
      </w:r>
      <w:r w:rsidRPr="00267E56">
        <w:rPr>
          <w:rFonts w:ascii="David" w:hAnsi="David" w:hint="cs"/>
          <w:noProof w:val="0"/>
          <w:rtl/>
        </w:rPr>
        <w:t xml:space="preserve"> כי כשהגיעה לאסוף</w:t>
      </w:r>
      <w:r w:rsidR="00605689">
        <w:rPr>
          <w:rFonts w:ascii="David" w:hAnsi="David" w:hint="cs"/>
          <w:noProof w:val="0"/>
          <w:rtl/>
        </w:rPr>
        <w:t xml:space="preserve"> את המנוחה ממשרדו של עו"ד אי'</w:t>
      </w:r>
      <w:r w:rsidRPr="00267E56">
        <w:rPr>
          <w:rFonts w:ascii="David" w:hAnsi="David" w:hint="cs"/>
          <w:noProof w:val="0"/>
          <w:rtl/>
        </w:rPr>
        <w:t>, היא עלתה למשרדו ללוות את המנוחה לרכב. כשנשאלה המבקשת מדוע עשתה כן</w:t>
      </w:r>
      <w:r>
        <w:rPr>
          <w:rFonts w:ascii="David" w:hAnsi="David" w:hint="cs"/>
          <w:noProof w:val="0"/>
          <w:rtl/>
        </w:rPr>
        <w:t>, שהרי לשיטתה יכלה המנוחה באותו מועד ללכת בכוחות עצמה,</w:t>
      </w:r>
      <w:r w:rsidRPr="00267E56">
        <w:rPr>
          <w:rFonts w:ascii="David" w:hAnsi="David" w:hint="cs"/>
          <w:noProof w:val="0"/>
          <w:rtl/>
        </w:rPr>
        <w:t xml:space="preserve"> לא ידעה לתת הסבר. עם זאת, המבקשת עמדה על כך שנכון לאותו מועד המנוחה הייתה יוצאת </w:t>
      </w:r>
      <w:r>
        <w:rPr>
          <w:rFonts w:ascii="David" w:hAnsi="David" w:hint="cs"/>
          <w:noProof w:val="0"/>
          <w:rtl/>
        </w:rPr>
        <w:t>מ</w:t>
      </w:r>
      <w:r w:rsidRPr="00267E56">
        <w:rPr>
          <w:rFonts w:ascii="David" w:hAnsi="David" w:hint="cs"/>
          <w:noProof w:val="0"/>
          <w:rtl/>
        </w:rPr>
        <w:t>הבית ללא ליווי</w:t>
      </w:r>
      <w:r>
        <w:rPr>
          <w:rFonts w:ascii="David" w:hAnsi="David" w:hint="cs"/>
          <w:noProof w:val="0"/>
          <w:rtl/>
        </w:rPr>
        <w:t>,</w:t>
      </w:r>
      <w:r w:rsidRPr="00267E56">
        <w:rPr>
          <w:rFonts w:ascii="David" w:hAnsi="David" w:hint="cs"/>
          <w:noProof w:val="0"/>
          <w:rtl/>
        </w:rPr>
        <w:t xml:space="preserve"> וזאת שלא על דעתה (פרוטוקול הדיון בעמ' 143, שו' 12 </w:t>
      </w:r>
      <w:r w:rsidRPr="00267E56">
        <w:rPr>
          <w:rFonts w:ascii="David" w:hAnsi="David"/>
          <w:noProof w:val="0"/>
          <w:rtl/>
        </w:rPr>
        <w:t>–</w:t>
      </w:r>
      <w:r w:rsidRPr="00267E56">
        <w:rPr>
          <w:rFonts w:ascii="David" w:hAnsi="David" w:hint="cs"/>
          <w:noProof w:val="0"/>
          <w:rtl/>
        </w:rPr>
        <w:t xml:space="preserve"> עמ' 144, שו' 7):</w:t>
      </w:r>
    </w:p>
    <w:p w:rsidR="00021B73" w:rsidRPr="00D77990" w:rsidRDefault="00605689" w:rsidP="00605689">
      <w:pPr>
        <w:pStyle w:val="a9"/>
        <w:ind w:left="0"/>
        <w:contextualSpacing w:val="0"/>
        <w:jc w:val="both"/>
        <w:rPr>
          <w:rFonts w:ascii="David" w:hAnsi="David"/>
          <w:noProof w:val="0"/>
        </w:rPr>
      </w:pPr>
      <w:r w:rsidRPr="00605689">
        <w:rPr>
          <w:rFonts w:ascii="David" w:hAnsi="David"/>
          <w:rtl/>
        </w:rPr>
        <w:lastRenderedPageBreak/>
        <w:drawing>
          <wp:inline distT="0" distB="0" distL="0" distR="0" wp14:anchorId="1B0C4CEC" wp14:editId="52A5F381">
            <wp:extent cx="5286375" cy="3079630"/>
            <wp:effectExtent l="0" t="0" r="0" b="6985"/>
            <wp:docPr id="206" name="תמונה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91768" cy="3082772"/>
                    </a:xfrm>
                    <a:prstGeom prst="rect">
                      <a:avLst/>
                    </a:prstGeom>
                  </pic:spPr>
                </pic:pic>
              </a:graphicData>
            </a:graphic>
          </wp:inline>
        </w:drawing>
      </w:r>
    </w:p>
    <w:p w:rsidR="00021B73" w:rsidRPr="001A3667" w:rsidRDefault="00605689" w:rsidP="00605689">
      <w:pPr>
        <w:pStyle w:val="a9"/>
        <w:spacing w:after="240" w:line="360" w:lineRule="auto"/>
        <w:ind w:left="0"/>
        <w:contextualSpacing w:val="0"/>
        <w:jc w:val="both"/>
        <w:rPr>
          <w:rFonts w:ascii="David" w:hAnsi="David"/>
          <w:noProof w:val="0"/>
        </w:rPr>
      </w:pPr>
      <w:r w:rsidRPr="00605689">
        <w:rPr>
          <w:rFonts w:ascii="David" w:hAnsi="David"/>
          <w:rtl/>
        </w:rPr>
        <w:drawing>
          <wp:inline distT="0" distB="0" distL="0" distR="0" wp14:anchorId="3A4B6E05" wp14:editId="6F398F95">
            <wp:extent cx="5302861" cy="1768415"/>
            <wp:effectExtent l="0" t="0" r="0" b="3810"/>
            <wp:docPr id="208" name="תמונה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21483" cy="1774625"/>
                    </a:xfrm>
                    <a:prstGeom prst="rect">
                      <a:avLst/>
                    </a:prstGeom>
                  </pic:spPr>
                </pic:pic>
              </a:graphicData>
            </a:graphic>
          </wp:inline>
        </w:drawing>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t xml:space="preserve">אם כך, סביר כי המבקשת חשה צורך ללוות את המנוחה בירידתה מהמשרד, וזאת בניגוד לתחושותיה הסובייקטיביות של המנוחה, כי היא מסוגלת להתנייד ללא ליווי. </w:t>
      </w:r>
    </w:p>
    <w:p w:rsidR="00021B73" w:rsidRPr="00475421" w:rsidRDefault="00021B73" w:rsidP="00021B73">
      <w:pPr>
        <w:pStyle w:val="a9"/>
        <w:numPr>
          <w:ilvl w:val="0"/>
          <w:numId w:val="7"/>
        </w:numPr>
        <w:spacing w:after="120" w:line="360" w:lineRule="auto"/>
        <w:ind w:left="0" w:firstLine="0"/>
        <w:contextualSpacing w:val="0"/>
        <w:jc w:val="both"/>
        <w:rPr>
          <w:rFonts w:ascii="David" w:hAnsi="David"/>
          <w:noProof w:val="0"/>
        </w:rPr>
      </w:pPr>
      <w:r>
        <w:rPr>
          <w:rFonts w:ascii="David" w:hAnsi="David" w:hint="cs"/>
          <w:noProof w:val="0"/>
          <w:rtl/>
        </w:rPr>
        <w:t xml:space="preserve">במסמך רפואי מיום 9.4.2014 נכתב כי המנוחה </w:t>
      </w:r>
      <w:r w:rsidRPr="00475421">
        <w:rPr>
          <w:rFonts w:ascii="David" w:hAnsi="David" w:hint="cs"/>
          <w:b/>
          <w:bCs/>
          <w:noProof w:val="0"/>
          <w:rtl/>
        </w:rPr>
        <w:t xml:space="preserve">"גרה בבית בגפה, עצמאית בבית אך הכל יותר איטי. מחוץ לבית יוצאת תמיד רק בליווי בני משפחה. יושבת בבית כל היום, רואה טלויזיה, מכינה אוכל, אין חיי חברה. ... מצב רוח </w:t>
      </w:r>
      <w:r w:rsidRPr="00475421">
        <w:rPr>
          <w:rFonts w:ascii="David" w:hAnsi="David"/>
          <w:b/>
          <w:bCs/>
          <w:noProof w:val="0"/>
          <w:rtl/>
        </w:rPr>
        <w:t>–</w:t>
      </w:r>
      <w:r w:rsidRPr="00475421">
        <w:rPr>
          <w:rFonts w:ascii="David" w:hAnsi="David" w:hint="cs"/>
          <w:b/>
          <w:bCs/>
          <w:noProof w:val="0"/>
          <w:rtl/>
        </w:rPr>
        <w:t xml:space="preserve"> ירוד בגלל המצב הפיזי..."</w:t>
      </w:r>
      <w:r>
        <w:rPr>
          <w:rFonts w:ascii="David" w:hAnsi="David" w:hint="cs"/>
          <w:b/>
          <w:bCs/>
          <w:noProof w:val="0"/>
          <w:rtl/>
        </w:rPr>
        <w:t xml:space="preserve"> </w:t>
      </w:r>
      <w:r>
        <w:rPr>
          <w:rFonts w:ascii="David" w:hAnsi="David" w:hint="cs"/>
          <w:noProof w:val="0"/>
          <w:rtl/>
        </w:rPr>
        <w:t>(</w:t>
      </w:r>
      <w:r w:rsidRPr="0053764A">
        <w:rPr>
          <w:rFonts w:ascii="David" w:hAnsi="David" w:hint="cs"/>
          <w:noProof w:val="0"/>
          <w:rtl/>
        </w:rPr>
        <w:t>סעיף 6, בעמ' 6 לחוות הדעת).</w:t>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t xml:space="preserve">בדיווח עו"ס קופת חולים מכבי מיום 9.6.2014 נכתב כי </w:t>
      </w:r>
      <w:r w:rsidR="00605689">
        <w:rPr>
          <w:rFonts w:ascii="David" w:hAnsi="David" w:hint="cs"/>
          <w:b/>
          <w:bCs/>
          <w:noProof w:val="0"/>
          <w:rtl/>
        </w:rPr>
        <w:t>"במהלך השיחה פ'</w:t>
      </w:r>
      <w:r w:rsidRPr="00D824C2">
        <w:rPr>
          <w:rFonts w:ascii="David" w:hAnsi="David" w:hint="cs"/>
          <w:b/>
          <w:bCs/>
          <w:noProof w:val="0"/>
          <w:rtl/>
        </w:rPr>
        <w:t xml:space="preserve"> שיתפה בקושי בהתמודדות עם מצבה </w:t>
      </w:r>
      <w:r w:rsidRPr="00D824C2">
        <w:rPr>
          <w:rFonts w:ascii="David" w:hAnsi="David"/>
          <w:b/>
          <w:bCs/>
          <w:noProof w:val="0"/>
          <w:rtl/>
        </w:rPr>
        <w:t>–</w:t>
      </w:r>
      <w:r w:rsidRPr="00D824C2">
        <w:rPr>
          <w:rFonts w:ascii="David" w:hAnsi="David" w:hint="cs"/>
          <w:b/>
          <w:bCs/>
          <w:noProof w:val="0"/>
          <w:rtl/>
        </w:rPr>
        <w:t xml:space="preserve"> העובדה שאינה עצמאית כמו בעבר מצד אחד, ומצד שני דאגנות היתר של בנותיה"</w:t>
      </w:r>
      <w:r>
        <w:rPr>
          <w:rFonts w:ascii="David" w:hAnsi="David" w:hint="cs"/>
          <w:noProof w:val="0"/>
          <w:rtl/>
        </w:rPr>
        <w:t xml:space="preserve"> (נספח 6 לתצהיר עדותה הראשית של המבקשת </w:t>
      </w:r>
      <w:r>
        <w:rPr>
          <w:rFonts w:ascii="David" w:hAnsi="David"/>
          <w:noProof w:val="0"/>
          <w:rtl/>
        </w:rPr>
        <w:t>–</w:t>
      </w:r>
      <w:r>
        <w:rPr>
          <w:rFonts w:ascii="David" w:hAnsi="David" w:hint="cs"/>
          <w:noProof w:val="0"/>
          <w:rtl/>
        </w:rPr>
        <w:t xml:space="preserve"> עמ' 56 לתע"ר).</w:t>
      </w:r>
    </w:p>
    <w:p w:rsidR="00021B73"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lastRenderedPageBreak/>
        <w:t xml:space="preserve">הנה כי כן, לא מן הנמנע כי מאחר שההחמרה בקושי של המנוחה בהליכה החל בקירוב למועד עריכת הצוואה, עדיין יצאה המנוחה את ביתה ללא ליווי למרות מצבה, וזאת אולי גם מתוך הקושי להשלים ולהפנים את מצבה. </w:t>
      </w:r>
    </w:p>
    <w:p w:rsidR="00021B73" w:rsidRPr="00CA786D" w:rsidRDefault="00021B73" w:rsidP="00021B73">
      <w:pPr>
        <w:pStyle w:val="a9"/>
        <w:spacing w:after="120" w:line="360" w:lineRule="auto"/>
        <w:ind w:left="0"/>
        <w:contextualSpacing w:val="0"/>
        <w:jc w:val="both"/>
        <w:rPr>
          <w:rFonts w:ascii="David" w:hAnsi="David"/>
          <w:b/>
          <w:bCs/>
          <w:noProof w:val="0"/>
          <w:sz w:val="28"/>
          <w:szCs w:val="28"/>
          <w:u w:val="single"/>
        </w:rPr>
      </w:pPr>
      <w:r w:rsidRPr="00CA786D">
        <w:rPr>
          <w:rFonts w:ascii="David" w:hAnsi="David" w:hint="cs"/>
          <w:b/>
          <w:bCs/>
          <w:noProof w:val="0"/>
          <w:sz w:val="28"/>
          <w:szCs w:val="28"/>
          <w:u w:val="single"/>
          <w:rtl/>
        </w:rPr>
        <w:t>חזרתה של המנוחה ממשרד עורך הדין לביתה</w:t>
      </w:r>
    </w:p>
    <w:p w:rsidR="00021B73" w:rsidRPr="00C13E64" w:rsidRDefault="00021B73" w:rsidP="00605689">
      <w:pPr>
        <w:pStyle w:val="a9"/>
        <w:numPr>
          <w:ilvl w:val="0"/>
          <w:numId w:val="7"/>
        </w:numPr>
        <w:spacing w:after="240" w:line="360" w:lineRule="auto"/>
        <w:ind w:left="0" w:firstLine="0"/>
        <w:contextualSpacing w:val="0"/>
        <w:jc w:val="both"/>
        <w:rPr>
          <w:rFonts w:ascii="David" w:hAnsi="David"/>
          <w:noProof w:val="0"/>
        </w:rPr>
      </w:pPr>
      <w:r w:rsidRPr="00C13E64">
        <w:rPr>
          <w:rFonts w:ascii="David" w:hAnsi="David" w:hint="cs"/>
          <w:noProof w:val="0"/>
          <w:rtl/>
        </w:rPr>
        <w:t xml:space="preserve">המבקשת הודתה שהיא זו שאספה את המנוחה ממשרדו של עו"ד </w:t>
      </w:r>
      <w:r w:rsidR="00605689">
        <w:rPr>
          <w:rFonts w:ascii="David" w:hAnsi="David" w:hint="cs"/>
          <w:noProof w:val="0"/>
          <w:rtl/>
        </w:rPr>
        <w:t>אי'</w:t>
      </w:r>
      <w:r w:rsidRPr="00C13E64">
        <w:rPr>
          <w:rFonts w:ascii="David" w:hAnsi="David" w:hint="cs"/>
          <w:noProof w:val="0"/>
          <w:rtl/>
        </w:rPr>
        <w:t xml:space="preserve">. המבקשת העידה, כי כשהיא אספה את המנוחה שאלה אותה מה עשתה באותו מקום, והמנוחה סיפרה לה כי ערכה צוואה והמבקשת כעסה עליה על כך (פרוטוקול הדיון בעמ' 108, שו' 3 </w:t>
      </w:r>
      <w:r w:rsidRPr="00C13E64">
        <w:rPr>
          <w:rFonts w:ascii="David" w:hAnsi="David"/>
          <w:noProof w:val="0"/>
          <w:rtl/>
        </w:rPr>
        <w:t>–</w:t>
      </w:r>
      <w:r w:rsidRPr="00C13E64">
        <w:rPr>
          <w:rFonts w:ascii="David" w:hAnsi="David" w:hint="cs"/>
          <w:noProof w:val="0"/>
          <w:rtl/>
        </w:rPr>
        <w:t xml:space="preserve">עמ' 109, שו' 12). המבקשת העידה כי כשהגיעו לביתה של המנוחה, המנוחה מסרה לה עותק מהצוואה (פרוטוקול הדיון בעמ' 109, שו' 18 </w:t>
      </w:r>
      <w:r w:rsidRPr="00C13E64">
        <w:rPr>
          <w:rFonts w:ascii="David" w:hAnsi="David"/>
          <w:noProof w:val="0"/>
          <w:rtl/>
        </w:rPr>
        <w:t>–</w:t>
      </w:r>
      <w:r w:rsidRPr="00C13E64">
        <w:rPr>
          <w:rFonts w:ascii="David" w:hAnsi="David" w:hint="cs"/>
          <w:noProof w:val="0"/>
          <w:rtl/>
        </w:rPr>
        <w:t xml:space="preserve"> עמ' 110, שו' 7). </w:t>
      </w:r>
    </w:p>
    <w:p w:rsidR="00021B73" w:rsidRPr="00690F3B" w:rsidRDefault="00021B73" w:rsidP="00021B73">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t>לטענת המבקשת המנוחה סיפרה לה שהיא עדכנה גם את המתנגדת על אודות עריכת הצוואה, אך היא בעצמה לא שוחחה עם המתנגדת על כך (פרוטוקול הדיון בעמ' 7-5).</w:t>
      </w:r>
    </w:p>
    <w:p w:rsidR="00021B73" w:rsidRPr="0040182B" w:rsidRDefault="00021B73" w:rsidP="00021B73">
      <w:pPr>
        <w:pStyle w:val="a9"/>
        <w:spacing w:after="120" w:line="360" w:lineRule="auto"/>
        <w:ind w:left="0"/>
        <w:contextualSpacing w:val="0"/>
        <w:jc w:val="both"/>
        <w:rPr>
          <w:rFonts w:ascii="David" w:hAnsi="David"/>
          <w:b/>
          <w:bCs/>
          <w:noProof w:val="0"/>
          <w:sz w:val="28"/>
          <w:szCs w:val="28"/>
          <w:u w:val="single"/>
        </w:rPr>
      </w:pPr>
      <w:r w:rsidRPr="0040182B">
        <w:rPr>
          <w:rFonts w:ascii="David" w:hAnsi="David" w:hint="cs"/>
          <w:b/>
          <w:bCs/>
          <w:noProof w:val="0"/>
          <w:sz w:val="28"/>
          <w:szCs w:val="28"/>
          <w:u w:val="single"/>
          <w:rtl/>
        </w:rPr>
        <w:t>התשלום עבור עריכת הצוואה</w:t>
      </w:r>
    </w:p>
    <w:p w:rsidR="00021B73" w:rsidRDefault="00021B73" w:rsidP="00605689">
      <w:pPr>
        <w:pStyle w:val="a9"/>
        <w:numPr>
          <w:ilvl w:val="0"/>
          <w:numId w:val="7"/>
        </w:numPr>
        <w:spacing w:after="240" w:line="360" w:lineRule="auto"/>
        <w:ind w:left="0" w:firstLine="0"/>
        <w:contextualSpacing w:val="0"/>
        <w:jc w:val="both"/>
        <w:rPr>
          <w:rFonts w:ascii="David" w:hAnsi="David"/>
          <w:noProof w:val="0"/>
        </w:rPr>
      </w:pPr>
      <w:r>
        <w:rPr>
          <w:rFonts w:eastAsia="Calibri" w:hint="cs"/>
          <w:rtl/>
        </w:rPr>
        <w:t xml:space="preserve">בתיק המסמכים של המנוחה שנמצא במשרדו של עו"ד </w:t>
      </w:r>
      <w:r w:rsidR="00605689">
        <w:rPr>
          <w:rFonts w:eastAsia="Calibri" w:hint="cs"/>
          <w:rtl/>
        </w:rPr>
        <w:t>אי'</w:t>
      </w:r>
      <w:r>
        <w:rPr>
          <w:rFonts w:eastAsia="Calibri" w:hint="cs"/>
          <w:rtl/>
        </w:rPr>
        <w:t xml:space="preserve"> והוזמן על ידי עו"ד </w:t>
      </w:r>
      <w:r w:rsidR="00605689">
        <w:rPr>
          <w:rFonts w:eastAsia="Calibri" w:hint="cs"/>
          <w:rtl/>
        </w:rPr>
        <w:t>ש'</w:t>
      </w:r>
      <w:r>
        <w:rPr>
          <w:rFonts w:eastAsia="Calibri" w:hint="cs"/>
          <w:rtl/>
        </w:rPr>
        <w:t xml:space="preserve"> לעיונה, נמצאה חשבונית עליה חתומה עו"ד </w:t>
      </w:r>
      <w:r w:rsidR="00605689">
        <w:rPr>
          <w:rFonts w:eastAsia="Calibri" w:hint="cs"/>
          <w:rtl/>
        </w:rPr>
        <w:t>ש'</w:t>
      </w:r>
      <w:r>
        <w:rPr>
          <w:rFonts w:eastAsia="Calibri" w:hint="cs"/>
          <w:rtl/>
        </w:rPr>
        <w:t>. מכך הבינה שהיא זו שערכה את הצוואה (</w:t>
      </w:r>
      <w:r>
        <w:rPr>
          <w:rFonts w:ascii="David" w:eastAsia="Calibri" w:hAnsi="David" w:hint="cs"/>
          <w:noProof w:val="0"/>
          <w:rtl/>
        </w:rPr>
        <w:t xml:space="preserve">עדותה על עו"ד </w:t>
      </w:r>
      <w:r w:rsidR="00605689">
        <w:rPr>
          <w:rFonts w:ascii="David" w:eastAsia="Calibri" w:hAnsi="David" w:hint="cs"/>
          <w:noProof w:val="0"/>
          <w:rtl/>
        </w:rPr>
        <w:t>ש'</w:t>
      </w:r>
      <w:r>
        <w:rPr>
          <w:rFonts w:eastAsia="Calibri" w:hint="cs"/>
          <w:rtl/>
        </w:rPr>
        <w:t xml:space="preserve"> פרוטוקול הדיון בעמ' 13, שו' 22 </w:t>
      </w:r>
      <w:r>
        <w:rPr>
          <w:rFonts w:eastAsia="Calibri"/>
          <w:rtl/>
        </w:rPr>
        <w:t>–</w:t>
      </w:r>
      <w:r>
        <w:rPr>
          <w:rFonts w:eastAsia="Calibri" w:hint="cs"/>
          <w:rtl/>
        </w:rPr>
        <w:t xml:space="preserve"> עמ' 14, שו' 9):</w:t>
      </w:r>
    </w:p>
    <w:p w:rsidR="00021B73" w:rsidRDefault="00021B73" w:rsidP="00021B73">
      <w:pPr>
        <w:pStyle w:val="a9"/>
        <w:ind w:left="567"/>
        <w:jc w:val="both"/>
        <w:rPr>
          <w:rFonts w:ascii="David" w:hAnsi="David"/>
          <w:noProof w:val="0"/>
        </w:rPr>
      </w:pPr>
      <w:r w:rsidRPr="00FF1384">
        <w:rPr>
          <w:rFonts w:ascii="David" w:hAnsi="David"/>
          <w:rtl/>
        </w:rPr>
        <w:drawing>
          <wp:inline distT="0" distB="0" distL="0" distR="0" wp14:anchorId="60029D7E" wp14:editId="5F60E4FB">
            <wp:extent cx="4830006" cy="262225"/>
            <wp:effectExtent l="0" t="0" r="0" b="508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884819" cy="265201"/>
                    </a:xfrm>
                    <a:prstGeom prst="rect">
                      <a:avLst/>
                    </a:prstGeom>
                    <a:noFill/>
                    <a:ln>
                      <a:noFill/>
                    </a:ln>
                  </pic:spPr>
                </pic:pic>
              </a:graphicData>
            </a:graphic>
          </wp:inline>
        </w:drawing>
      </w:r>
    </w:p>
    <w:p w:rsidR="00021B73" w:rsidRDefault="00021B73" w:rsidP="00021B73">
      <w:pPr>
        <w:pStyle w:val="a9"/>
        <w:spacing w:after="240" w:line="360" w:lineRule="auto"/>
        <w:ind w:left="567"/>
        <w:contextualSpacing w:val="0"/>
        <w:jc w:val="both"/>
        <w:rPr>
          <w:rFonts w:ascii="David" w:hAnsi="David"/>
          <w:noProof w:val="0"/>
        </w:rPr>
      </w:pPr>
      <w:r w:rsidRPr="00FF1384">
        <w:rPr>
          <w:rFonts w:ascii="David" w:hAnsi="David" w:hint="cs"/>
          <w:rtl/>
        </w:rPr>
        <w:drawing>
          <wp:inline distT="0" distB="0" distL="0" distR="0" wp14:anchorId="233D54D7" wp14:editId="02EC85EA">
            <wp:extent cx="4818577" cy="2071370"/>
            <wp:effectExtent l="0" t="0" r="1270" b="508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834069" cy="2078029"/>
                    </a:xfrm>
                    <a:prstGeom prst="rect">
                      <a:avLst/>
                    </a:prstGeom>
                    <a:noFill/>
                    <a:ln>
                      <a:noFill/>
                    </a:ln>
                  </pic:spPr>
                </pic:pic>
              </a:graphicData>
            </a:graphic>
          </wp:inline>
        </w:drawing>
      </w:r>
    </w:p>
    <w:p w:rsidR="00021B73" w:rsidRPr="00CA786D" w:rsidRDefault="00021B73" w:rsidP="00021B73">
      <w:pPr>
        <w:pStyle w:val="a9"/>
        <w:numPr>
          <w:ilvl w:val="0"/>
          <w:numId w:val="7"/>
        </w:numPr>
        <w:spacing w:after="240" w:line="360" w:lineRule="auto"/>
        <w:ind w:left="0" w:firstLine="0"/>
        <w:contextualSpacing w:val="0"/>
        <w:jc w:val="both"/>
        <w:rPr>
          <w:rFonts w:ascii="David" w:hAnsi="David"/>
          <w:noProof w:val="0"/>
        </w:rPr>
      </w:pPr>
      <w:r w:rsidRPr="00CA786D">
        <w:rPr>
          <w:rFonts w:ascii="David" w:hAnsi="David" w:hint="cs"/>
          <w:noProof w:val="0"/>
          <w:rtl/>
        </w:rPr>
        <w:t xml:space="preserve">מעיון באותה חשבונית גם התברר, כי תשלום בסך 1,180 ₪ (1,000 ₪ בתוספת מע"מ) </w:t>
      </w:r>
      <w:r w:rsidRPr="00CA786D">
        <w:rPr>
          <w:rFonts w:ascii="David" w:hAnsi="David" w:hint="cs"/>
          <w:b/>
          <w:bCs/>
          <w:noProof w:val="0"/>
          <w:rtl/>
        </w:rPr>
        <w:t>שולם על ידי המנוחה</w:t>
      </w:r>
      <w:r w:rsidRPr="00CA786D">
        <w:rPr>
          <w:rFonts w:ascii="David" w:hAnsi="David" w:hint="cs"/>
          <w:noProof w:val="0"/>
          <w:rtl/>
        </w:rPr>
        <w:t xml:space="preserve"> באמצעות כרטיס אשראי (החשבונית נסרקה כמוצג לתיק ביום 12.6.2023). משהתגלתה אותה חשבונית, ניתנו צו לבנקים ולחברות האשראי ל</w:t>
      </w:r>
      <w:r>
        <w:rPr>
          <w:rFonts w:ascii="David" w:hAnsi="David" w:hint="cs"/>
          <w:noProof w:val="0"/>
          <w:rtl/>
        </w:rPr>
        <w:t xml:space="preserve">צורך </w:t>
      </w:r>
      <w:r w:rsidRPr="00CA786D">
        <w:rPr>
          <w:rFonts w:ascii="David" w:hAnsi="David" w:hint="cs"/>
          <w:noProof w:val="0"/>
          <w:rtl/>
        </w:rPr>
        <w:t xml:space="preserve">בחינת השאלה </w:t>
      </w:r>
      <w:r w:rsidRPr="00CA786D">
        <w:rPr>
          <w:rFonts w:ascii="David" w:hAnsi="David"/>
          <w:noProof w:val="0"/>
          <w:rtl/>
        </w:rPr>
        <w:t>–</w:t>
      </w:r>
      <w:r w:rsidRPr="00CA786D">
        <w:rPr>
          <w:rFonts w:ascii="David" w:hAnsi="David" w:hint="cs"/>
          <w:noProof w:val="0"/>
          <w:rtl/>
        </w:rPr>
        <w:t xml:space="preserve"> האם </w:t>
      </w:r>
      <w:r w:rsidRPr="00CA786D">
        <w:rPr>
          <w:rFonts w:ascii="David" w:hAnsi="David" w:hint="cs"/>
          <w:noProof w:val="0"/>
          <w:rtl/>
        </w:rPr>
        <w:lastRenderedPageBreak/>
        <w:t>למנוחה היה כרטיס אשראי</w:t>
      </w:r>
      <w:r>
        <w:rPr>
          <w:rFonts w:ascii="David" w:hAnsi="David" w:hint="cs"/>
          <w:noProof w:val="0"/>
          <w:rtl/>
        </w:rPr>
        <w:t>,</w:t>
      </w:r>
      <w:r w:rsidRPr="00CA786D">
        <w:rPr>
          <w:rFonts w:ascii="David" w:hAnsi="David" w:hint="cs"/>
          <w:noProof w:val="0"/>
          <w:rtl/>
        </w:rPr>
        <w:t xml:space="preserve"> ו</w:t>
      </w:r>
      <w:r>
        <w:rPr>
          <w:rFonts w:ascii="David" w:hAnsi="David" w:hint="cs"/>
          <w:noProof w:val="0"/>
          <w:rtl/>
        </w:rPr>
        <w:t xml:space="preserve">בדיקת </w:t>
      </w:r>
      <w:r w:rsidRPr="00CA786D">
        <w:rPr>
          <w:rFonts w:ascii="David" w:hAnsi="David" w:hint="cs"/>
          <w:noProof w:val="0"/>
          <w:rtl/>
        </w:rPr>
        <w:t xml:space="preserve">הפעולות שנעשו </w:t>
      </w:r>
      <w:r>
        <w:rPr>
          <w:rFonts w:ascii="David" w:hAnsi="David" w:hint="cs"/>
          <w:noProof w:val="0"/>
          <w:rtl/>
        </w:rPr>
        <w:t>בכרטיס במהלך</w:t>
      </w:r>
      <w:r w:rsidRPr="00CA786D">
        <w:rPr>
          <w:rFonts w:ascii="David" w:hAnsi="David" w:hint="cs"/>
          <w:noProof w:val="0"/>
          <w:rtl/>
        </w:rPr>
        <w:t xml:space="preserve"> חצי השנה שקדמה למועד עריכת הצוואה ובחצי שנה שלאחריו (פרוטוקול הדיון בעמ' 14, שו' 22-17; החלטות מהימים 14.6.2023 ו-15.11.2023). </w:t>
      </w:r>
    </w:p>
    <w:p w:rsidR="00021B73" w:rsidRPr="003073C4" w:rsidRDefault="00021B73" w:rsidP="00605689">
      <w:pPr>
        <w:pStyle w:val="a9"/>
        <w:numPr>
          <w:ilvl w:val="0"/>
          <w:numId w:val="7"/>
        </w:numPr>
        <w:spacing w:after="240" w:line="360" w:lineRule="auto"/>
        <w:ind w:left="0" w:firstLine="0"/>
        <w:contextualSpacing w:val="0"/>
        <w:jc w:val="both"/>
        <w:rPr>
          <w:rFonts w:ascii="David" w:hAnsi="David"/>
          <w:noProof w:val="0"/>
          <w:rtl/>
        </w:rPr>
      </w:pPr>
      <w:r>
        <w:rPr>
          <w:rFonts w:ascii="David" w:hAnsi="David" w:hint="cs"/>
          <w:noProof w:val="0"/>
          <w:rtl/>
        </w:rPr>
        <w:t xml:space="preserve">ביום 30.5.2024 הגישו הצדדים את המסמכים שהתקבלו מהבנקים ומחברות האשראי. מהמסמכים עלה, בין היתר, כי למנוחה היה כרטיס אשראי של חברת ויזה. ביום 22.10.2013 הכרטיס חויב בסך 1,180 ₪ לטובת עו"ד </w:t>
      </w:r>
      <w:r w:rsidR="00605689">
        <w:rPr>
          <w:rFonts w:ascii="David" w:hAnsi="David" w:hint="cs"/>
          <w:noProof w:val="0"/>
          <w:rtl/>
        </w:rPr>
        <w:t>אי'</w:t>
      </w:r>
      <w:r>
        <w:rPr>
          <w:rFonts w:ascii="David" w:hAnsi="David" w:hint="cs"/>
          <w:noProof w:val="0"/>
          <w:rtl/>
        </w:rPr>
        <w:t>. התשלום התבצע בשני תשלומים עוקבים ושווים. כמו כן, עיקר השימוש שנעשה באותו כרטיס היה לתשלומים קבועים עבור שירותי תקשורת והוצאות חשמל. נוסף על אלה, בארבעה מועדים בלבד בוצעו תשלומים עבור דלק (בימים 21.5.2013, 21.6.2013, 13.9.2013, 6.11.2013). אין חולק, כי למנוחה לא היה רכב בשימושה במועד הרלוונטי. אם כך סביר כי תשלומים אלה נעשו על ידי המבקשת. עם זאת, לא מן הנמנע כי הכרטיס לא נותר בהחזקתה של המבקשת באופן קבוע, ואף יתכן כי באותם מועדים נכחה המנוחה יחד עם המבקשת ומסרה את הכרטיס לשימושה.</w:t>
      </w:r>
      <w:r w:rsidRPr="003073C4">
        <w:rPr>
          <w:rFonts w:ascii="David" w:hAnsi="David" w:hint="cs"/>
          <w:noProof w:val="0"/>
          <w:rtl/>
        </w:rPr>
        <w:t xml:space="preserve"> </w:t>
      </w:r>
      <w:r>
        <w:rPr>
          <w:rFonts w:ascii="David" w:hAnsi="David" w:hint="cs"/>
          <w:noProof w:val="0"/>
          <w:rtl/>
        </w:rPr>
        <w:t xml:space="preserve">המבקשת אף העידה כי לעיתים המנוחה הייתה מוסרת לה את כרטיס האשראי כדי שהיא תוציא לה תדפיסי חשבון בנק. עם זאת, הבהירה כי שנים רבות שלא עשתה כן, מכיוון שתדפיסי החשבון היו מגיעים לבית המנוחה (פרוטוקול הדיון בעמ' 124, שו' 14 </w:t>
      </w:r>
      <w:r>
        <w:rPr>
          <w:rFonts w:ascii="David" w:hAnsi="David"/>
          <w:noProof w:val="0"/>
          <w:rtl/>
        </w:rPr>
        <w:t>–</w:t>
      </w:r>
      <w:r>
        <w:rPr>
          <w:rFonts w:ascii="David" w:hAnsi="David" w:hint="cs"/>
          <w:noProof w:val="0"/>
          <w:rtl/>
        </w:rPr>
        <w:t xml:space="preserve"> עמ' 125, שו' 4). בנוסף בשני </w:t>
      </w:r>
      <w:r w:rsidRPr="003073C4">
        <w:rPr>
          <w:rFonts w:ascii="David" w:hAnsi="David" w:hint="cs"/>
          <w:noProof w:val="0"/>
          <w:rtl/>
        </w:rPr>
        <w:t>מועדים בלבד בוצעו תשלומים לרשתות מזון בעיר בת ים (בימים 17.1.2014 ו-21.2.2014</w:t>
      </w:r>
      <w:r>
        <w:rPr>
          <w:rFonts w:ascii="David" w:hAnsi="David" w:hint="cs"/>
          <w:noProof w:val="0"/>
          <w:rtl/>
        </w:rPr>
        <w:t xml:space="preserve"> </w:t>
      </w:r>
      <w:r>
        <w:rPr>
          <w:rFonts w:ascii="David" w:hAnsi="David"/>
          <w:noProof w:val="0"/>
          <w:rtl/>
        </w:rPr>
        <w:t>–</w:t>
      </w:r>
      <w:r>
        <w:rPr>
          <w:rFonts w:ascii="David" w:hAnsi="David" w:hint="cs"/>
          <w:noProof w:val="0"/>
          <w:rtl/>
        </w:rPr>
        <w:t xml:space="preserve"> </w:t>
      </w:r>
      <w:r w:rsidRPr="003073C4">
        <w:rPr>
          <w:rFonts w:ascii="David" w:hAnsi="David" w:hint="cs"/>
          <w:noProof w:val="0"/>
          <w:rtl/>
        </w:rPr>
        <w:t xml:space="preserve">מסמכים המצורפים לבקשה מיום 30.5.2024). </w:t>
      </w:r>
      <w:r>
        <w:rPr>
          <w:rFonts w:ascii="David" w:hAnsi="David" w:hint="cs"/>
          <w:noProof w:val="0"/>
          <w:rtl/>
        </w:rPr>
        <w:t>יצוין</w:t>
      </w:r>
      <w:r w:rsidRPr="003073C4">
        <w:rPr>
          <w:rFonts w:ascii="David" w:hAnsi="David" w:hint="cs"/>
          <w:noProof w:val="0"/>
          <w:rtl/>
        </w:rPr>
        <w:t xml:space="preserve"> כי עם הגשת המסמכים הצדדים לא ביקשו לקיים השלמת חקירות בעניינם אלא עתרו למתן הוראות להגשת סיכומים.  </w:t>
      </w:r>
    </w:p>
    <w:p w:rsidR="00021B73" w:rsidRDefault="00021B73" w:rsidP="00605689">
      <w:pPr>
        <w:pStyle w:val="a9"/>
        <w:numPr>
          <w:ilvl w:val="0"/>
          <w:numId w:val="7"/>
        </w:numPr>
        <w:spacing w:after="240" w:line="360" w:lineRule="auto"/>
        <w:ind w:left="0" w:firstLine="0"/>
        <w:contextualSpacing w:val="0"/>
        <w:jc w:val="both"/>
        <w:rPr>
          <w:rFonts w:ascii="David" w:hAnsi="David"/>
          <w:noProof w:val="0"/>
        </w:rPr>
      </w:pPr>
      <w:r>
        <w:rPr>
          <w:rFonts w:ascii="David" w:hAnsi="David" w:hint="cs"/>
          <w:noProof w:val="0"/>
          <w:rtl/>
        </w:rPr>
        <w:t xml:space="preserve">המבקשת העידה כי היא לא שילמה לעו"ד </w:t>
      </w:r>
      <w:r w:rsidR="00605689">
        <w:rPr>
          <w:rFonts w:eastAsia="Calibri" w:hint="cs"/>
          <w:rtl/>
        </w:rPr>
        <w:t>ש'</w:t>
      </w:r>
      <w:r>
        <w:rPr>
          <w:rFonts w:ascii="David" w:hAnsi="David" w:hint="cs"/>
          <w:noProof w:val="0"/>
          <w:rtl/>
        </w:rPr>
        <w:t>, וכי סביר להניח שהמנוחה היא ששילמה לה (פרוטוקול הדיון בעמ' 108, שו' 2-1).</w:t>
      </w:r>
    </w:p>
    <w:p w:rsidR="00021B73" w:rsidRPr="00EC0787" w:rsidRDefault="00021B73" w:rsidP="00021B73">
      <w:pPr>
        <w:pStyle w:val="a9"/>
        <w:numPr>
          <w:ilvl w:val="0"/>
          <w:numId w:val="7"/>
        </w:numPr>
        <w:spacing w:after="240" w:line="360" w:lineRule="auto"/>
        <w:ind w:left="0" w:firstLine="0"/>
        <w:contextualSpacing w:val="0"/>
        <w:jc w:val="both"/>
        <w:rPr>
          <w:rFonts w:ascii="David" w:hAnsi="David"/>
          <w:noProof w:val="0"/>
          <w:u w:val="single"/>
        </w:rPr>
      </w:pPr>
      <w:r>
        <w:rPr>
          <w:rFonts w:ascii="David" w:hAnsi="David" w:hint="cs"/>
          <w:noProof w:val="0"/>
          <w:rtl/>
        </w:rPr>
        <w:t xml:space="preserve">הנה כי כן, לא הוכח כי המבקשת היא שביצעה </w:t>
      </w:r>
      <w:r w:rsidRPr="00EC0787">
        <w:rPr>
          <w:rFonts w:ascii="David" w:hAnsi="David" w:hint="cs"/>
          <w:noProof w:val="0"/>
          <w:rtl/>
        </w:rPr>
        <w:t xml:space="preserve">את התשלום עבור עריכת הצוואה באמצעות כרטיס האשראי של המנוחה ואין כל הכרח שכך היה. יתרה מזו, אף אם כך היה, עדיין אין בעובדה זאת כדי להוות מעורבות בעריכת הצוואה, באופן כזה המוביל לביטולה. כבר </w:t>
      </w:r>
      <w:r w:rsidRPr="00EC0787">
        <w:rPr>
          <w:rFonts w:hint="cs"/>
          <w:noProof w:val="0"/>
          <w:rtl/>
        </w:rPr>
        <w:t>נקבע בפסיקה</w:t>
      </w:r>
      <w:r>
        <w:rPr>
          <w:rFonts w:hint="cs"/>
          <w:noProof w:val="0"/>
          <w:rtl/>
        </w:rPr>
        <w:t>,</w:t>
      </w:r>
      <w:r w:rsidRPr="00EC0787">
        <w:rPr>
          <w:noProof w:val="0"/>
          <w:rtl/>
        </w:rPr>
        <w:t xml:space="preserve"> כי אף </w:t>
      </w:r>
      <w:r w:rsidRPr="00EC0787">
        <w:rPr>
          <w:rFonts w:hint="cs"/>
          <w:noProof w:val="0"/>
          <w:rtl/>
        </w:rPr>
        <w:t xml:space="preserve">במקרה שבו </w:t>
      </w:r>
      <w:r w:rsidRPr="00EC0787">
        <w:rPr>
          <w:noProof w:val="0"/>
          <w:rtl/>
        </w:rPr>
        <w:t xml:space="preserve">שילם </w:t>
      </w:r>
      <w:r w:rsidRPr="00EC0787">
        <w:rPr>
          <w:rFonts w:hint="cs"/>
          <w:noProof w:val="0"/>
          <w:rtl/>
        </w:rPr>
        <w:t xml:space="preserve">הנהנה </w:t>
      </w:r>
      <w:r w:rsidRPr="00EC0787">
        <w:rPr>
          <w:noProof w:val="0"/>
          <w:rtl/>
        </w:rPr>
        <w:t xml:space="preserve">את שכר טרחתו </w:t>
      </w:r>
      <w:r w:rsidRPr="00EC0787">
        <w:rPr>
          <w:rFonts w:hint="cs"/>
          <w:noProof w:val="0"/>
          <w:rtl/>
        </w:rPr>
        <w:t>של עורך הדין אשר ערך את הצוואה</w:t>
      </w:r>
      <w:r w:rsidRPr="00EC0787">
        <w:rPr>
          <w:noProof w:val="0"/>
          <w:rtl/>
        </w:rPr>
        <w:t>, אין בכך משום נטילת חלק פסול בעריכת הצוואה</w:t>
      </w:r>
      <w:r w:rsidRPr="00EC0787">
        <w:rPr>
          <w:rFonts w:hint="cs"/>
          <w:noProof w:val="0"/>
          <w:rtl/>
        </w:rPr>
        <w:t xml:space="preserve"> (</w:t>
      </w:r>
      <w:r w:rsidRPr="00EC0787">
        <w:rPr>
          <w:rFonts w:hint="cs"/>
          <w:b/>
          <w:bCs/>
          <w:noProof w:val="0"/>
          <w:rtl/>
        </w:rPr>
        <w:t>עניין דרוויש</w:t>
      </w:r>
      <w:r w:rsidRPr="00EC0787">
        <w:rPr>
          <w:rFonts w:ascii="David" w:hAnsi="David" w:hint="cs"/>
          <w:noProof w:val="0"/>
          <w:rtl/>
        </w:rPr>
        <w:t>, בעמ' 13</w:t>
      </w:r>
      <w:r w:rsidRPr="00EC0787">
        <w:rPr>
          <w:rFonts w:hint="cs"/>
          <w:noProof w:val="0"/>
          <w:rtl/>
        </w:rPr>
        <w:t>)</w:t>
      </w:r>
      <w:r w:rsidRPr="00EC0787">
        <w:rPr>
          <w:noProof w:val="0"/>
          <w:rtl/>
        </w:rPr>
        <w:t>.</w:t>
      </w:r>
    </w:p>
    <w:p w:rsidR="00021B73" w:rsidRPr="00230DDF" w:rsidRDefault="00021B73" w:rsidP="00021B73">
      <w:pPr>
        <w:pStyle w:val="a9"/>
        <w:spacing w:after="120" w:line="360" w:lineRule="auto"/>
        <w:ind w:left="0"/>
        <w:contextualSpacing w:val="0"/>
        <w:jc w:val="both"/>
        <w:rPr>
          <w:rFonts w:ascii="David" w:hAnsi="David"/>
          <w:b/>
          <w:bCs/>
          <w:noProof w:val="0"/>
          <w:sz w:val="28"/>
          <w:szCs w:val="28"/>
          <w:u w:val="single"/>
        </w:rPr>
      </w:pPr>
      <w:r w:rsidRPr="00230DDF">
        <w:rPr>
          <w:rFonts w:ascii="David" w:hAnsi="David" w:hint="cs"/>
          <w:b/>
          <w:bCs/>
          <w:noProof w:val="0"/>
          <w:sz w:val="28"/>
          <w:szCs w:val="28"/>
          <w:u w:val="single"/>
          <w:rtl/>
        </w:rPr>
        <w:t>הפרטים המופיעים בצוואה</w:t>
      </w:r>
    </w:p>
    <w:p w:rsidR="00021B73" w:rsidRDefault="00021B73" w:rsidP="00021B73">
      <w:pPr>
        <w:pStyle w:val="a9"/>
        <w:numPr>
          <w:ilvl w:val="0"/>
          <w:numId w:val="7"/>
        </w:numPr>
        <w:spacing w:after="120" w:line="360" w:lineRule="auto"/>
        <w:ind w:left="0" w:firstLine="0"/>
        <w:contextualSpacing w:val="0"/>
        <w:jc w:val="both"/>
        <w:rPr>
          <w:rFonts w:ascii="David" w:hAnsi="David"/>
          <w:noProof w:val="0"/>
        </w:rPr>
      </w:pPr>
      <w:r w:rsidRPr="003073C4">
        <w:rPr>
          <w:rFonts w:ascii="David" w:hAnsi="David" w:hint="cs"/>
          <w:noProof w:val="0"/>
          <w:rtl/>
        </w:rPr>
        <w:t>המבקשת לא ידעה לתת הסבר כיצד למנוחה</w:t>
      </w:r>
      <w:r>
        <w:rPr>
          <w:rFonts w:ascii="David" w:hAnsi="David" w:hint="cs"/>
          <w:noProof w:val="0"/>
          <w:rtl/>
        </w:rPr>
        <w:t xml:space="preserve"> היה את מספר תעודת הזהות של הנכדה,</w:t>
      </w:r>
      <w:r w:rsidRPr="003073C4">
        <w:rPr>
          <w:rFonts w:ascii="David" w:hAnsi="David" w:hint="cs"/>
          <w:noProof w:val="0"/>
          <w:rtl/>
        </w:rPr>
        <w:t xml:space="preserve"> אשר הייתה כבת 12 במועד עריכת הצוואה וגם לא את נסח הטאבו של הדירה. עם זאת, המבקשת עמדה על כך שלא היא שסייעה ל</w:t>
      </w:r>
      <w:r>
        <w:rPr>
          <w:rFonts w:ascii="David" w:hAnsi="David" w:hint="cs"/>
          <w:noProof w:val="0"/>
          <w:rtl/>
        </w:rPr>
        <w:t>מנוח</w:t>
      </w:r>
      <w:r w:rsidRPr="003073C4">
        <w:rPr>
          <w:rFonts w:ascii="David" w:hAnsi="David" w:hint="cs"/>
          <w:noProof w:val="0"/>
          <w:rtl/>
        </w:rPr>
        <w:t xml:space="preserve">ה בקבלת </w:t>
      </w:r>
      <w:r>
        <w:rPr>
          <w:rFonts w:ascii="David" w:hAnsi="David" w:hint="cs"/>
          <w:noProof w:val="0"/>
          <w:rtl/>
        </w:rPr>
        <w:t>הפרטים</w:t>
      </w:r>
      <w:r w:rsidRPr="003073C4">
        <w:rPr>
          <w:rFonts w:ascii="David" w:hAnsi="David" w:hint="cs"/>
          <w:noProof w:val="0"/>
          <w:rtl/>
        </w:rPr>
        <w:t xml:space="preserve"> (פרוטוקול הדיון בעמ' 140, שו' 12 </w:t>
      </w:r>
      <w:r w:rsidRPr="003073C4">
        <w:rPr>
          <w:rFonts w:ascii="David" w:hAnsi="David"/>
          <w:noProof w:val="0"/>
          <w:rtl/>
        </w:rPr>
        <w:t>–</w:t>
      </w:r>
      <w:r w:rsidRPr="003073C4">
        <w:rPr>
          <w:rFonts w:ascii="David" w:hAnsi="David" w:hint="cs"/>
          <w:noProof w:val="0"/>
          <w:rtl/>
        </w:rPr>
        <w:t xml:space="preserve"> עמ' 141, שו' 20).</w:t>
      </w:r>
    </w:p>
    <w:p w:rsidR="00021B73" w:rsidRPr="00690F3B" w:rsidRDefault="00021B73" w:rsidP="00021B73">
      <w:pPr>
        <w:pStyle w:val="a9"/>
        <w:spacing w:after="240" w:line="360" w:lineRule="auto"/>
        <w:ind w:left="0" w:firstLine="720"/>
        <w:contextualSpacing w:val="0"/>
        <w:jc w:val="both"/>
        <w:rPr>
          <w:rFonts w:ascii="David" w:hAnsi="David"/>
          <w:noProof w:val="0"/>
        </w:rPr>
      </w:pPr>
      <w:r>
        <w:rPr>
          <w:rFonts w:ascii="David" w:hAnsi="David" w:hint="cs"/>
          <w:noProof w:val="0"/>
          <w:rtl/>
        </w:rPr>
        <w:lastRenderedPageBreak/>
        <w:t>לטענת המבקשת לו היה לה יד בדבר בוודאי שהייתה בוחרת למנות גורם אחראי על העיזבון במידה ותהא הנכדה הזוכה בו. שהרי בינה ובין אבי הקטינה לא שוררים יחסית טובים, ולא הייתה סומכת עליו להיות הגורם האחראי כאפוטרופוס של הנכדה על פי דין (סעיף 68 לסיכומי המבקשת). מצאתי כי יש ממש בטענה זו של המבקשת.</w:t>
      </w:r>
    </w:p>
    <w:p w:rsidR="00021B73" w:rsidRPr="0012012C" w:rsidRDefault="00021B73" w:rsidP="00021B73">
      <w:pPr>
        <w:pStyle w:val="a9"/>
        <w:numPr>
          <w:ilvl w:val="0"/>
          <w:numId w:val="7"/>
        </w:numPr>
        <w:spacing w:after="240" w:line="360" w:lineRule="auto"/>
        <w:ind w:left="0" w:firstLine="0"/>
        <w:contextualSpacing w:val="0"/>
        <w:jc w:val="both"/>
        <w:rPr>
          <w:rFonts w:ascii="David" w:hAnsi="David"/>
          <w:noProof w:val="0"/>
        </w:rPr>
      </w:pPr>
      <w:r w:rsidRPr="00267E56">
        <mc:AlternateContent>
          <mc:Choice Requires="wps">
            <w:drawing>
              <wp:anchor distT="0" distB="0" distL="114300" distR="114300" simplePos="0" relativeHeight="251657216" behindDoc="0" locked="0" layoutInCell="1" allowOverlap="1" wp14:anchorId="46DA1243" wp14:editId="36FB6D48">
                <wp:simplePos x="0" y="0"/>
                <wp:positionH relativeFrom="margin">
                  <wp:posOffset>-146685</wp:posOffset>
                </wp:positionH>
                <wp:positionV relativeFrom="paragraph">
                  <wp:posOffset>716915</wp:posOffset>
                </wp:positionV>
                <wp:extent cx="5581650" cy="542925"/>
                <wp:effectExtent l="0" t="0" r="19050" b="28575"/>
                <wp:wrapNone/>
                <wp:docPr id="21" name="מלבן מעוגל 21"/>
                <wp:cNvGraphicFramePr/>
                <a:graphic xmlns:a="http://schemas.openxmlformats.org/drawingml/2006/main">
                  <a:graphicData uri="http://schemas.microsoft.com/office/word/2010/wordprocessingShape">
                    <wps:wsp>
                      <wps:cNvSpPr/>
                      <wps:spPr>
                        <a:xfrm>
                          <a:off x="0" y="0"/>
                          <a:ext cx="5581650" cy="542925"/>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6C3FD15F" id="מלבן מעוגל 21" o:spid="_x0000_s1026" style="position:absolute;left:0;text-align:left;margin-left:-11.55pt;margin-top:56.45pt;width:439.5pt;height:42.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" fillcolor="#4f81bd [3204]" strokecolor="#243f60 [1604]" strokeweight="2pt">
                <v:fill opacity="19789f"/>
                <w10:wrap anchorx="margin"/>
              </v:roundrect>
            </w:pict>
          </mc:Fallback>
        </mc:AlternateContent>
      </w:r>
      <w:r w:rsidRPr="00267E56">
        <w:rPr>
          <w:rFonts w:ascii="David" w:hAnsi="David" w:hint="cs"/>
          <w:noProof w:val="0"/>
          <w:rtl/>
        </w:rPr>
        <w:t>אומנם, לא ברור כיצד הג</w:t>
      </w:r>
      <w:r w:rsidR="00605689">
        <w:rPr>
          <w:rFonts w:ascii="David" w:hAnsi="David" w:hint="cs"/>
          <w:noProof w:val="0"/>
          <w:rtl/>
        </w:rPr>
        <w:t>יעה המנוחה למשרדו של עו"ד אי'</w:t>
      </w:r>
      <w:r w:rsidRPr="00267E56">
        <w:rPr>
          <w:rFonts w:ascii="David" w:hAnsi="David" w:hint="cs"/>
          <w:noProof w:val="0"/>
          <w:rtl/>
        </w:rPr>
        <w:t xml:space="preserve"> וכיצד הגיעו לידיה פרטי תעודת הזהות של הנכדה ונסח הטאבו. עם זאת, אין די בסימני שאלה אלה כדי להוות הוכחה לטענה שהמבקשת נטלה חלק בעריכת הצוואה</w:t>
      </w:r>
      <w:r>
        <w:rPr>
          <w:rFonts w:ascii="David" w:hAnsi="David" w:hint="cs"/>
          <w:noProof w:val="0"/>
          <w:rtl/>
        </w:rPr>
        <w:t xml:space="preserve"> (ראו </w:t>
      </w:r>
      <w:r w:rsidRPr="00267E56">
        <w:rPr>
          <w:rFonts w:ascii="David" w:hAnsi="David" w:hint="cs"/>
          <w:b/>
          <w:bCs/>
          <w:noProof w:val="0"/>
          <w:rtl/>
        </w:rPr>
        <w:t>עניין דרוויש</w:t>
      </w:r>
      <w:r>
        <w:rPr>
          <w:rFonts w:ascii="David" w:hAnsi="David" w:hint="cs"/>
          <w:noProof w:val="0"/>
          <w:rtl/>
        </w:rPr>
        <w:t>).</w:t>
      </w:r>
    </w:p>
    <w:p w:rsidR="00021B73" w:rsidRDefault="00021B73" w:rsidP="00021B73">
      <w:pPr>
        <w:numPr>
          <w:ilvl w:val="0"/>
          <w:numId w:val="7"/>
        </w:numPr>
        <w:spacing w:after="480" w:line="360" w:lineRule="auto"/>
        <w:ind w:left="0" w:firstLine="0"/>
        <w:jc w:val="both"/>
        <w:rPr>
          <w:rFonts w:ascii="David" w:hAnsi="David"/>
          <w:b/>
          <w:bCs/>
          <w:noProof w:val="0"/>
          <w:color w:val="000000"/>
        </w:rPr>
      </w:pPr>
      <w:r>
        <w:rPr>
          <w:rFonts w:ascii="David" w:hAnsi="David"/>
          <w:b/>
          <w:bCs/>
          <w:noProof w:val="0"/>
          <w:color w:val="000000"/>
          <w:rtl/>
        </w:rPr>
        <w:t xml:space="preserve">מסקנה – </w:t>
      </w:r>
      <w:r>
        <w:rPr>
          <w:rFonts w:ascii="David" w:hAnsi="David" w:hint="cs"/>
          <w:b/>
          <w:bCs/>
          <w:noProof w:val="0"/>
          <w:color w:val="000000"/>
          <w:rtl/>
        </w:rPr>
        <w:t>המתנגדת לא עמדה בנטל המוטל על כתפיה להוכיח כי המבקשת נטלה חלק בעריכת הצוואה.</w:t>
      </w:r>
    </w:p>
    <w:p w:rsidR="00021B73" w:rsidRDefault="00021B73" w:rsidP="00021B73">
      <w:pPr>
        <w:spacing w:after="240" w:line="360" w:lineRule="auto"/>
        <w:ind w:firstLine="567"/>
        <w:jc w:val="both"/>
        <w:rPr>
          <w:rFonts w:ascii="David" w:hAnsi="David"/>
          <w:b/>
          <w:bCs/>
          <w:noProof w:val="0"/>
          <w:color w:val="000000"/>
        </w:rPr>
      </w:pPr>
      <w:r>
        <w:rPr>
          <w:rFonts w:ascii="David" w:hAnsi="David"/>
          <w:b/>
          <w:bCs/>
          <w:noProof w:val="0"/>
          <w:color w:val="000000"/>
          <w:rtl/>
        </w:rPr>
        <w:t>משכך אעבור עתה לבחון את הטענה הנוספת של המתנגדת, והיא השפעה בלתי הוגנת.</w:t>
      </w:r>
    </w:p>
    <w:p w:rsidR="00021B73" w:rsidRPr="00846671" w:rsidRDefault="00021B73" w:rsidP="00021B73">
      <w:pPr>
        <w:ind w:left="-58"/>
        <w:contextualSpacing/>
        <w:rPr>
          <w:noProof w:val="0"/>
          <w:sz w:val="28"/>
          <w:szCs w:val="28"/>
          <w:u w:val="single"/>
          <w:rtl/>
        </w:rPr>
      </w:pPr>
      <w:r>
        <w:rPr>
          <w:b/>
          <w:bCs/>
          <w:noProof w:val="0"/>
          <w:sz w:val="32"/>
          <w:szCs w:val="32"/>
          <w:u w:val="single"/>
          <w:rtl/>
        </w:rPr>
        <w:t>(</w:t>
      </w:r>
      <w:r>
        <w:rPr>
          <w:rFonts w:hint="cs"/>
          <w:b/>
          <w:bCs/>
          <w:noProof w:val="0"/>
          <w:sz w:val="32"/>
          <w:szCs w:val="32"/>
          <w:u w:val="single"/>
          <w:rtl/>
        </w:rPr>
        <w:t>ב</w:t>
      </w:r>
      <w:r>
        <w:rPr>
          <w:b/>
          <w:bCs/>
          <w:noProof w:val="0"/>
          <w:sz w:val="32"/>
          <w:szCs w:val="32"/>
          <w:u w:val="single"/>
          <w:rtl/>
        </w:rPr>
        <w:t>) האם השפיע</w:t>
      </w:r>
      <w:r>
        <w:rPr>
          <w:rFonts w:hint="cs"/>
          <w:b/>
          <w:bCs/>
          <w:noProof w:val="0"/>
          <w:sz w:val="32"/>
          <w:szCs w:val="32"/>
          <w:u w:val="single"/>
          <w:rtl/>
        </w:rPr>
        <w:t>ה</w:t>
      </w:r>
      <w:r>
        <w:rPr>
          <w:b/>
          <w:bCs/>
          <w:noProof w:val="0"/>
          <w:sz w:val="32"/>
          <w:szCs w:val="32"/>
          <w:u w:val="single"/>
          <w:rtl/>
        </w:rPr>
        <w:t xml:space="preserve"> המבקש</w:t>
      </w:r>
      <w:r>
        <w:rPr>
          <w:rFonts w:hint="cs"/>
          <w:b/>
          <w:bCs/>
          <w:noProof w:val="0"/>
          <w:sz w:val="32"/>
          <w:szCs w:val="32"/>
          <w:u w:val="single"/>
          <w:rtl/>
        </w:rPr>
        <w:t>ת</w:t>
      </w:r>
      <w:r>
        <w:rPr>
          <w:b/>
          <w:bCs/>
          <w:noProof w:val="0"/>
          <w:sz w:val="32"/>
          <w:szCs w:val="32"/>
          <w:u w:val="single"/>
          <w:rtl/>
        </w:rPr>
        <w:t xml:space="preserve"> השפעה בלתי הוגנת על המנוחה?</w:t>
      </w:r>
    </w:p>
    <w:p w:rsidR="00021B73" w:rsidRDefault="00021B73" w:rsidP="00021B73">
      <w:pPr>
        <w:numPr>
          <w:ilvl w:val="0"/>
          <w:numId w:val="7"/>
        </w:numPr>
        <w:spacing w:before="100" w:beforeAutospacing="1" w:after="120" w:line="360" w:lineRule="auto"/>
        <w:ind w:left="0" w:firstLine="0"/>
        <w:jc w:val="both"/>
        <w:outlineLvl w:val="3"/>
        <w:rPr>
          <w:rFonts w:ascii="David" w:eastAsia="Calibri" w:hAnsi="David"/>
          <w:b/>
          <w:bCs/>
          <w:noProof w:val="0"/>
          <w:color w:val="000000" w:themeColor="text1"/>
          <w:rtl/>
        </w:rPr>
      </w:pPr>
      <w:r>
        <w:rPr>
          <w:rFonts w:ascii="David" w:eastAsia="Calibri" w:hAnsi="David"/>
          <w:noProof w:val="0"/>
          <w:rtl/>
        </w:rPr>
        <w:t>לטענת המתנגדת הצוואה נערכה תחת השפעה בלתי הוגנת מצד המבקש</w:t>
      </w:r>
      <w:r>
        <w:rPr>
          <w:rFonts w:ascii="David" w:eastAsia="Calibri" w:hAnsi="David" w:hint="cs"/>
          <w:noProof w:val="0"/>
          <w:rtl/>
        </w:rPr>
        <w:t>ת</w:t>
      </w:r>
      <w:r>
        <w:rPr>
          <w:rFonts w:ascii="David" w:eastAsia="Calibri" w:hAnsi="David"/>
          <w:noProof w:val="0"/>
          <w:rtl/>
        </w:rPr>
        <w:t xml:space="preserve"> על המנוחה: המנוחה הייתה תלויה תלות מוחלטת במבקש</w:t>
      </w:r>
      <w:r>
        <w:rPr>
          <w:rFonts w:ascii="David" w:eastAsia="Calibri" w:hAnsi="David" w:hint="cs"/>
          <w:noProof w:val="0"/>
          <w:rtl/>
        </w:rPr>
        <w:t>ת</w:t>
      </w:r>
      <w:r>
        <w:rPr>
          <w:rFonts w:ascii="David" w:eastAsia="Calibri" w:hAnsi="David"/>
          <w:noProof w:val="0"/>
          <w:rtl/>
        </w:rPr>
        <w:t xml:space="preserve">; </w:t>
      </w:r>
      <w:r>
        <w:rPr>
          <w:rFonts w:ascii="David" w:eastAsia="Calibri" w:hAnsi="David" w:hint="cs"/>
          <w:noProof w:val="0"/>
          <w:rtl/>
        </w:rPr>
        <w:t>למנוחה לא היו קשרים עם אחרים ו</w:t>
      </w:r>
      <w:r>
        <w:rPr>
          <w:rFonts w:ascii="David" w:eastAsia="Calibri" w:hAnsi="David"/>
          <w:noProof w:val="0"/>
          <w:rtl/>
        </w:rPr>
        <w:t>המ</w:t>
      </w:r>
      <w:r>
        <w:rPr>
          <w:rFonts w:ascii="David" w:eastAsia="Calibri" w:hAnsi="David" w:hint="cs"/>
          <w:noProof w:val="0"/>
          <w:rtl/>
        </w:rPr>
        <w:t>בקשת אף גרמה</w:t>
      </w:r>
      <w:r>
        <w:rPr>
          <w:rFonts w:ascii="David" w:eastAsia="Calibri" w:hAnsi="David"/>
          <w:noProof w:val="0"/>
          <w:rtl/>
        </w:rPr>
        <w:t xml:space="preserve"> </w:t>
      </w:r>
      <w:r>
        <w:rPr>
          <w:rFonts w:ascii="David" w:eastAsia="Calibri" w:hAnsi="David" w:hint="cs"/>
          <w:noProof w:val="0"/>
          <w:rtl/>
        </w:rPr>
        <w:t>לבידודה של המנוחה</w:t>
      </w:r>
      <w:r>
        <w:rPr>
          <w:rFonts w:ascii="David" w:eastAsia="Calibri" w:hAnsi="David"/>
          <w:noProof w:val="0"/>
          <w:rtl/>
        </w:rPr>
        <w:t xml:space="preserve">; </w:t>
      </w:r>
      <w:r>
        <w:rPr>
          <w:rFonts w:ascii="David" w:eastAsia="Calibri" w:hAnsi="David" w:hint="cs"/>
          <w:noProof w:val="0"/>
          <w:rtl/>
        </w:rPr>
        <w:t xml:space="preserve">בין המבקשת לבין המנוחה היו יחסים קשים, והמנוחה חששה מהמבקשת והייתה </w:t>
      </w:r>
      <w:r>
        <w:rPr>
          <w:rFonts w:ascii="David" w:eastAsia="Calibri" w:hAnsi="David"/>
          <w:noProof w:val="0"/>
          <w:rtl/>
        </w:rPr>
        <w:t>נתונה להשפעה בלתי הוגנת מצד</w:t>
      </w:r>
      <w:r>
        <w:rPr>
          <w:rFonts w:ascii="David" w:eastAsia="Calibri" w:hAnsi="David" w:hint="cs"/>
          <w:noProof w:val="0"/>
          <w:rtl/>
        </w:rPr>
        <w:t>ה</w:t>
      </w:r>
      <w:r>
        <w:rPr>
          <w:rFonts w:ascii="David" w:eastAsia="Calibri" w:hAnsi="David"/>
          <w:noProof w:val="0"/>
          <w:rtl/>
        </w:rPr>
        <w:t xml:space="preserve"> במועד עריכת הצוואה. </w:t>
      </w:r>
    </w:p>
    <w:p w:rsidR="00021B73" w:rsidRDefault="00021B73" w:rsidP="00021B73">
      <w:pPr>
        <w:pStyle w:val="a9"/>
        <w:spacing w:after="240" w:line="360" w:lineRule="auto"/>
        <w:ind w:left="0" w:firstLine="720"/>
        <w:contextualSpacing w:val="0"/>
        <w:jc w:val="both"/>
        <w:rPr>
          <w:rFonts w:ascii="David" w:eastAsia="Calibri" w:hAnsi="David"/>
          <w:noProof w:val="0"/>
          <w:color w:val="000000" w:themeColor="text1"/>
          <w:rtl/>
        </w:rPr>
      </w:pPr>
      <w:r>
        <w:rPr>
          <w:rFonts w:ascii="David" w:eastAsia="Calibri" w:hAnsi="David"/>
          <w:noProof w:val="0"/>
          <w:rtl/>
        </w:rPr>
        <w:t xml:space="preserve">משכך מתעוררת השאלה: </w:t>
      </w:r>
      <w:r>
        <w:rPr>
          <w:rFonts w:ascii="David" w:eastAsia="Calibri" w:hAnsi="David"/>
          <w:b/>
          <w:bCs/>
          <w:noProof w:val="0"/>
          <w:rtl/>
        </w:rPr>
        <w:t>האם בעת עשיית הצוואה הייתה המנוחה נתונה להשפעה בלתי הוגנת מצד המבקש</w:t>
      </w:r>
      <w:r>
        <w:rPr>
          <w:rFonts w:ascii="David" w:eastAsia="Calibri" w:hAnsi="David" w:hint="cs"/>
          <w:b/>
          <w:bCs/>
          <w:noProof w:val="0"/>
          <w:rtl/>
        </w:rPr>
        <w:t>ת</w:t>
      </w:r>
      <w:r>
        <w:rPr>
          <w:rFonts w:ascii="David" w:eastAsia="Calibri" w:hAnsi="David"/>
          <w:b/>
          <w:bCs/>
          <w:noProof w:val="0"/>
          <w:rtl/>
        </w:rPr>
        <w:t>, תוך ניצול</w:t>
      </w:r>
      <w:r>
        <w:rPr>
          <w:rFonts w:ascii="David" w:eastAsia="Calibri" w:hAnsi="David" w:hint="cs"/>
          <w:b/>
          <w:bCs/>
          <w:noProof w:val="0"/>
          <w:rtl/>
        </w:rPr>
        <w:t>ה</w:t>
      </w:r>
      <w:r>
        <w:rPr>
          <w:rFonts w:ascii="David" w:eastAsia="Calibri" w:hAnsi="David"/>
          <w:b/>
          <w:bCs/>
          <w:noProof w:val="0"/>
          <w:rtl/>
        </w:rPr>
        <w:t xml:space="preserve"> את מצבה הבריאותי והתלות ב</w:t>
      </w:r>
      <w:r>
        <w:rPr>
          <w:rFonts w:ascii="David" w:eastAsia="Calibri" w:hAnsi="David" w:hint="cs"/>
          <w:b/>
          <w:bCs/>
          <w:noProof w:val="0"/>
          <w:rtl/>
        </w:rPr>
        <w:t>ה</w:t>
      </w:r>
      <w:r>
        <w:rPr>
          <w:rFonts w:ascii="David" w:eastAsia="Calibri" w:hAnsi="David"/>
          <w:b/>
          <w:bCs/>
          <w:noProof w:val="0"/>
          <w:rtl/>
        </w:rPr>
        <w:t>?</w:t>
      </w:r>
      <w:r>
        <w:rPr>
          <w:rFonts w:ascii="David" w:eastAsia="Calibri" w:hAnsi="David"/>
          <w:noProof w:val="0"/>
          <w:rtl/>
        </w:rPr>
        <w:t xml:space="preserve"> כדי להכריע בשאלה זו, נדרש לברר תחילה ברמה העובדתית</w:t>
      </w:r>
      <w:r>
        <w:rPr>
          <w:rFonts w:ascii="David" w:eastAsia="Calibri" w:hAnsi="David" w:hint="cs"/>
          <w:noProof w:val="0"/>
          <w:rtl/>
        </w:rPr>
        <w:t xml:space="preserve"> </w:t>
      </w:r>
      <w:r>
        <w:rPr>
          <w:rFonts w:ascii="David" w:eastAsia="Calibri" w:hAnsi="David"/>
          <w:noProof w:val="0"/>
          <w:rtl/>
        </w:rPr>
        <w:t>–</w:t>
      </w:r>
      <w:r>
        <w:rPr>
          <w:rFonts w:ascii="David" w:eastAsia="Calibri" w:hAnsi="David" w:hint="cs"/>
          <w:noProof w:val="0"/>
          <w:rtl/>
        </w:rPr>
        <w:t xml:space="preserve"> </w:t>
      </w:r>
      <w:r>
        <w:rPr>
          <w:rFonts w:ascii="David" w:eastAsia="Calibri" w:hAnsi="David"/>
          <w:noProof w:val="0"/>
          <w:rtl/>
        </w:rPr>
        <w:t>האם אכן התקיימה השפעה כלשהי מצד המבקש</w:t>
      </w:r>
      <w:r>
        <w:rPr>
          <w:rFonts w:ascii="David" w:eastAsia="Calibri" w:hAnsi="David" w:hint="cs"/>
          <w:noProof w:val="0"/>
          <w:rtl/>
        </w:rPr>
        <w:t>ת</w:t>
      </w:r>
      <w:r>
        <w:rPr>
          <w:rFonts w:ascii="David" w:eastAsia="Calibri" w:hAnsi="David"/>
          <w:noProof w:val="0"/>
          <w:rtl/>
        </w:rPr>
        <w:t xml:space="preserve"> על המנוחה. מקום שבו בחינת העובדות אכן תצביע על התקיימותה של השפעה כאמור, תתבצע בחינה נוספת, הפעם ברמה הערכית והנורמטיבית, לצורך הכרעה בשאלה האם ההשפעה על המנוחה אכן עלתה כדי "</w:t>
      </w:r>
      <w:r>
        <w:rPr>
          <w:rFonts w:ascii="David" w:eastAsia="Calibri" w:hAnsi="David"/>
          <w:b/>
          <w:bCs/>
          <w:noProof w:val="0"/>
          <w:rtl/>
        </w:rPr>
        <w:t>השפעה</w:t>
      </w:r>
      <w:r>
        <w:rPr>
          <w:rFonts w:ascii="David" w:eastAsia="Calibri" w:hAnsi="David"/>
          <w:noProof w:val="0"/>
          <w:rtl/>
        </w:rPr>
        <w:t xml:space="preserve"> </w:t>
      </w:r>
      <w:r>
        <w:rPr>
          <w:rFonts w:ascii="David" w:eastAsia="Calibri" w:hAnsi="David"/>
          <w:b/>
          <w:bCs/>
          <w:noProof w:val="0"/>
          <w:rtl/>
        </w:rPr>
        <w:t>בלתי הוגנת</w:t>
      </w:r>
      <w:r>
        <w:rPr>
          <w:rFonts w:ascii="David" w:eastAsia="Calibri" w:hAnsi="David"/>
          <w:noProof w:val="0"/>
          <w:rtl/>
        </w:rPr>
        <w:t xml:space="preserve">" כמשמעותה </w:t>
      </w:r>
      <w:r>
        <w:rPr>
          <w:rFonts w:ascii="David" w:eastAsia="Calibri" w:hAnsi="David"/>
          <w:noProof w:val="0"/>
          <w:color w:val="000000" w:themeColor="text1"/>
          <w:rtl/>
        </w:rPr>
        <w:t xml:space="preserve">בסעיף 30 לחוק הירושה (ע"א 4902/91 </w:t>
      </w:r>
      <w:r>
        <w:rPr>
          <w:rFonts w:ascii="David" w:eastAsia="Calibri" w:hAnsi="David"/>
          <w:b/>
          <w:bCs/>
          <w:noProof w:val="0"/>
          <w:color w:val="000000" w:themeColor="text1"/>
          <w:rtl/>
        </w:rPr>
        <w:t>שדמה גודמן נ' ישיבת שם בית מדרש</w:t>
      </w:r>
      <w:r>
        <w:rPr>
          <w:rFonts w:ascii="David" w:eastAsia="Calibri" w:hAnsi="David"/>
          <w:noProof w:val="0"/>
          <w:color w:val="000000" w:themeColor="text1"/>
          <w:rtl/>
        </w:rPr>
        <w:t xml:space="preserve"> </w:t>
      </w:r>
      <w:r>
        <w:rPr>
          <w:rFonts w:ascii="David" w:eastAsia="Calibri" w:hAnsi="David"/>
          <w:b/>
          <w:bCs/>
          <w:noProof w:val="0"/>
          <w:color w:val="000000" w:themeColor="text1"/>
          <w:rtl/>
        </w:rPr>
        <w:t>גבוה להוראה ודיינות</w:t>
      </w:r>
      <w:r>
        <w:rPr>
          <w:rFonts w:ascii="David" w:eastAsia="Calibri" w:hAnsi="David"/>
          <w:noProof w:val="0"/>
          <w:color w:val="000000" w:themeColor="text1"/>
          <w:rtl/>
        </w:rPr>
        <w:t xml:space="preserve">, פ"ד מט (2) 441, 448-450 (1995)). </w:t>
      </w:r>
    </w:p>
    <w:p w:rsidR="00021B73" w:rsidRDefault="00021B73" w:rsidP="00021B73">
      <w:pPr>
        <w:pStyle w:val="a9"/>
        <w:spacing w:after="240" w:line="360" w:lineRule="auto"/>
        <w:ind w:left="0" w:firstLine="708"/>
        <w:jc w:val="both"/>
        <w:rPr>
          <w:rFonts w:ascii="David" w:hAnsi="David"/>
          <w:noProof w:val="0"/>
          <w:rtl/>
        </w:rPr>
      </w:pPr>
      <w:r>
        <w:rPr>
          <w:rFonts w:ascii="David" w:hAnsi="David"/>
          <w:noProof w:val="0"/>
          <w:rtl/>
        </w:rPr>
        <w:t xml:space="preserve">ודוק, לא כל השפעה מצד הנהנה על המצווה היא בלתי הוגנת. השפעה בלתי הוגנת, אשר תוביל לביטול צוואה צריכה לעלות כדי ניצול תלותו, חולשתו וחוסר יכולתו של המצווה לשם עשיית צוואה לטובת הנהנה. </w:t>
      </w:r>
      <w:r>
        <w:rPr>
          <w:rFonts w:ascii="David" w:hAnsi="David"/>
          <w:noProof w:val="0"/>
          <w:rtl/>
          <w:lang w:eastAsia="he-IL"/>
        </w:rPr>
        <w:t xml:space="preserve">כדבר שבשגרה נתונים אנו להשפעות הסובבים אותנו. משכך, יושם הדגש על "אי ההוגנות" שבהשפעה, כתוצר של אופי מערכת היחסים שבין המשפיע לבין המושפע, </w:t>
      </w:r>
      <w:r>
        <w:rPr>
          <w:noProof w:val="0"/>
          <w:rtl/>
          <w:lang w:eastAsia="he-IL"/>
        </w:rPr>
        <w:t>שהרי לא קיומה של ההשפעה הוא שמביא לביטול הצוואה, אלא קיומו של יסוד בלתי הוגן בה</w:t>
      </w:r>
      <w:r>
        <w:rPr>
          <w:rFonts w:ascii="David" w:hAnsi="David"/>
          <w:noProof w:val="0"/>
          <w:rtl/>
          <w:lang w:eastAsia="he-IL"/>
        </w:rPr>
        <w:t xml:space="preserve"> (</w:t>
      </w:r>
      <w:r>
        <w:rPr>
          <w:rFonts w:ascii="David" w:hAnsi="David"/>
          <w:rtl/>
        </w:rPr>
        <w:t xml:space="preserve">ת"ע (י-ם) 51286-08-17 </w:t>
      </w:r>
      <w:r>
        <w:rPr>
          <w:rFonts w:ascii="David" w:hAnsi="David"/>
          <w:b/>
          <w:bCs/>
          <w:rtl/>
        </w:rPr>
        <w:t>נ.י נ' י.י</w:t>
      </w:r>
      <w:r>
        <w:rPr>
          <w:rFonts w:ascii="David" w:hAnsi="David"/>
          <w:rtl/>
        </w:rPr>
        <w:t xml:space="preserve"> (15.5.</w:t>
      </w:r>
      <w:r>
        <w:rPr>
          <w:rFonts w:ascii="David" w:hAnsi="David" w:hint="cs"/>
          <w:rtl/>
        </w:rPr>
        <w:t>2019</w:t>
      </w:r>
      <w:r>
        <w:rPr>
          <w:rFonts w:ascii="David" w:hAnsi="David"/>
          <w:rtl/>
        </w:rPr>
        <w:t>)</w:t>
      </w:r>
      <w:r>
        <w:rPr>
          <w:rFonts w:ascii="David" w:hAnsi="David"/>
          <w:noProof w:val="0"/>
          <w:rtl/>
          <w:lang w:eastAsia="he-IL"/>
        </w:rPr>
        <w:t>).</w:t>
      </w:r>
      <w:r>
        <w:rPr>
          <w:rFonts w:ascii="Miriam" w:hAnsi="Miriam" w:cs="Miriam"/>
          <w:noProof w:val="0"/>
          <w:rtl/>
          <w:lang w:eastAsia="he-IL"/>
        </w:rPr>
        <w:t xml:space="preserve"> </w:t>
      </w:r>
    </w:p>
    <w:p w:rsidR="00021B73" w:rsidRDefault="00021B73" w:rsidP="00021B73">
      <w:pPr>
        <w:spacing w:after="120" w:line="360" w:lineRule="auto"/>
        <w:rPr>
          <w:rFonts w:ascii="David" w:hAnsi="David"/>
          <w:b/>
          <w:bCs/>
          <w:noProof w:val="0"/>
          <w:sz w:val="28"/>
          <w:szCs w:val="28"/>
          <w:u w:val="single"/>
        </w:rPr>
      </w:pPr>
      <w:r>
        <w:rPr>
          <w:rFonts w:ascii="David" w:hAnsi="David"/>
          <w:b/>
          <w:bCs/>
          <w:noProof w:val="0"/>
          <w:sz w:val="28"/>
          <w:szCs w:val="28"/>
          <w:u w:val="single"/>
          <w:rtl/>
        </w:rPr>
        <w:lastRenderedPageBreak/>
        <w:t>המתווה הנורמטיבי</w:t>
      </w:r>
    </w:p>
    <w:p w:rsidR="00021B73" w:rsidRDefault="00021B73" w:rsidP="00021B73">
      <w:pPr>
        <w:numPr>
          <w:ilvl w:val="0"/>
          <w:numId w:val="7"/>
        </w:numPr>
        <w:spacing w:after="120" w:line="360" w:lineRule="auto"/>
        <w:ind w:left="0" w:firstLine="0"/>
        <w:rPr>
          <w:rFonts w:ascii="David" w:hAnsi="David"/>
          <w:b/>
          <w:bCs/>
          <w:noProof w:val="0"/>
        </w:rPr>
      </w:pPr>
      <w:r>
        <w:rPr>
          <w:rFonts w:ascii="David" w:hAnsi="David"/>
          <w:noProof w:val="0"/>
          <w:rtl/>
        </w:rPr>
        <w:t xml:space="preserve">סעיף 30 (א) לחוק הירושה קובע: </w:t>
      </w:r>
    </w:p>
    <w:p w:rsidR="00021B73" w:rsidRDefault="00021B73" w:rsidP="00021B73">
      <w:pPr>
        <w:spacing w:after="240"/>
        <w:ind w:left="1134" w:right="1134"/>
        <w:jc w:val="both"/>
        <w:rPr>
          <w:rFonts w:ascii="David" w:hAnsi="David"/>
          <w:b/>
          <w:bCs/>
          <w:noProof w:val="0"/>
          <w:rtl/>
        </w:rPr>
      </w:pPr>
      <w:r>
        <w:rPr>
          <w:rFonts w:ascii="David" w:hAnsi="David"/>
          <w:noProof w:val="0"/>
          <w:rtl/>
        </w:rPr>
        <w:t>"</w:t>
      </w:r>
      <w:r>
        <w:rPr>
          <w:rFonts w:ascii="David" w:hAnsi="David"/>
          <w:b/>
          <w:bCs/>
          <w:noProof w:val="0"/>
          <w:rtl/>
        </w:rPr>
        <w:t>הוראת צוואה שנעשתה מחמת אונס, איום, השפעה בלתי הוגנת, תחבולה או תרמית - בטלה".</w:t>
      </w:r>
    </w:p>
    <w:p w:rsidR="00021B73" w:rsidRDefault="00021B73" w:rsidP="00021B73">
      <w:pPr>
        <w:numPr>
          <w:ilvl w:val="0"/>
          <w:numId w:val="7"/>
        </w:numPr>
        <w:spacing w:after="240" w:line="360" w:lineRule="auto"/>
        <w:ind w:left="0" w:firstLine="0"/>
        <w:jc w:val="both"/>
        <w:rPr>
          <w:rFonts w:ascii="David" w:hAnsi="David"/>
          <w:noProof w:val="0"/>
        </w:rPr>
      </w:pPr>
      <w:r>
        <w:rPr>
          <w:rFonts w:ascii="David" w:hAnsi="David"/>
          <w:b/>
          <w:bCs/>
          <w:noProof w:val="0"/>
          <w:rtl/>
        </w:rPr>
        <w:t>נטל ההוכחה</w:t>
      </w:r>
      <w:r>
        <w:rPr>
          <w:rFonts w:ascii="David" w:hAnsi="David"/>
          <w:noProof w:val="0"/>
          <w:rtl/>
        </w:rPr>
        <w:t xml:space="preserve"> לקיומה של השפעה בלתי הוגנת, מוטל על הטוען לקיומה של אותה השפעה</w:t>
      </w:r>
      <w:r>
        <w:rPr>
          <w:rFonts w:ascii="David" w:hAnsi="David"/>
          <w:noProof w:val="0"/>
          <w:rtl/>
          <w:lang w:eastAsia="he-IL"/>
        </w:rPr>
        <w:t>, שהרי הצוואה עומדת בחזקת כשרותה</w:t>
      </w:r>
      <w:r>
        <w:rPr>
          <w:rFonts w:ascii="David" w:hAnsi="David"/>
          <w:noProof w:val="0"/>
          <w:rtl/>
        </w:rPr>
        <w:t xml:space="preserve">. לפיכך, כל ספק שיוותר בתום הליך בחינת הראיות והעדויות על פי אופן שתואר לעיל יפעל לטובת המבקש. לשם הרמת נטל ההוכחה על הטוען להציג ראיות משמעותיות בבית המשפט (ע"א 245/85 </w:t>
      </w:r>
      <w:r>
        <w:rPr>
          <w:rFonts w:ascii="David" w:hAnsi="David"/>
          <w:b/>
          <w:bCs/>
          <w:noProof w:val="0"/>
          <w:rtl/>
        </w:rPr>
        <w:t>יהודית אנגלמן נ' מרטה קליין</w:t>
      </w:r>
      <w:r>
        <w:rPr>
          <w:rFonts w:ascii="David" w:hAnsi="David"/>
          <w:noProof w:val="0"/>
          <w:rtl/>
        </w:rPr>
        <w:t xml:space="preserve">, פ"ד מג (1) 772, 778 (1989); ע"א 3828/98 </w:t>
      </w:r>
      <w:r>
        <w:rPr>
          <w:rFonts w:ascii="David" w:hAnsi="David"/>
          <w:b/>
          <w:bCs/>
          <w:noProof w:val="0"/>
          <w:rtl/>
        </w:rPr>
        <w:t>רחל מיכקשווילי נ' דוד מחקשווילי</w:t>
      </w:r>
      <w:r>
        <w:rPr>
          <w:rFonts w:ascii="David" w:hAnsi="David"/>
          <w:noProof w:val="0"/>
          <w:rtl/>
        </w:rPr>
        <w:t xml:space="preserve">, פ"ד נד (2) 337, 342 (2000)). </w:t>
      </w:r>
    </w:p>
    <w:p w:rsidR="00021B73" w:rsidRDefault="00021B73" w:rsidP="00021B73">
      <w:pPr>
        <w:spacing w:after="120" w:line="360" w:lineRule="auto"/>
        <w:ind w:left="40" w:hanging="40"/>
        <w:jc w:val="both"/>
        <w:outlineLvl w:val="3"/>
        <w:rPr>
          <w:rFonts w:ascii="David" w:hAnsi="David"/>
          <w:noProof w:val="0"/>
          <w:sz w:val="28"/>
          <w:szCs w:val="28"/>
          <w:u w:val="single"/>
          <w:rtl/>
        </w:rPr>
      </w:pPr>
      <w:r>
        <w:rPr>
          <w:rFonts w:ascii="David" w:hAnsi="David"/>
          <w:b/>
          <w:bCs/>
          <w:noProof w:val="0"/>
          <w:sz w:val="28"/>
          <w:szCs w:val="28"/>
          <w:u w:val="single"/>
          <w:rtl/>
        </w:rPr>
        <w:t>אימתי תיחשב השפעה על מצווה להשפעה בלתי הוגנת?</w:t>
      </w:r>
      <w:r>
        <w:rPr>
          <w:rFonts w:ascii="David" w:hAnsi="David"/>
          <w:noProof w:val="0"/>
          <w:sz w:val="28"/>
          <w:szCs w:val="28"/>
          <w:u w:val="single"/>
          <w:rtl/>
        </w:rPr>
        <w:t xml:space="preserve"> </w:t>
      </w:r>
    </w:p>
    <w:p w:rsidR="00021B73" w:rsidRDefault="00021B73" w:rsidP="00021B73">
      <w:pPr>
        <w:pStyle w:val="a9"/>
        <w:numPr>
          <w:ilvl w:val="0"/>
          <w:numId w:val="7"/>
        </w:numPr>
        <w:spacing w:after="120" w:line="360" w:lineRule="auto"/>
        <w:ind w:left="0" w:firstLine="0"/>
        <w:contextualSpacing w:val="0"/>
        <w:jc w:val="both"/>
        <w:outlineLvl w:val="3"/>
        <w:rPr>
          <w:rFonts w:ascii="David" w:hAnsi="David"/>
          <w:noProof w:val="0"/>
        </w:rPr>
      </w:pPr>
      <w:r>
        <w:rPr>
          <w:rFonts w:ascii="David" w:eastAsia="Calibri" w:hAnsi="David"/>
          <w:noProof w:val="0"/>
          <w:color w:val="000000" w:themeColor="text1"/>
          <w:rtl/>
        </w:rPr>
        <w:t xml:space="preserve">בדנ"א 1516/95 </w:t>
      </w:r>
      <w:r>
        <w:rPr>
          <w:rFonts w:ascii="David" w:eastAsia="Calibri" w:hAnsi="David"/>
          <w:b/>
          <w:bCs/>
          <w:noProof w:val="0"/>
          <w:color w:val="000000" w:themeColor="text1"/>
          <w:rtl/>
        </w:rPr>
        <w:t>מרום נ' היועץ המשפטי לממשלה</w:t>
      </w:r>
      <w:r>
        <w:rPr>
          <w:rFonts w:ascii="David" w:eastAsia="Calibri" w:hAnsi="David"/>
          <w:noProof w:val="0"/>
          <w:color w:val="000000" w:themeColor="text1"/>
          <w:rtl/>
        </w:rPr>
        <w:t>, פ"ד נב(2) 813 (1998) (להלן: "</w:t>
      </w:r>
      <w:r>
        <w:rPr>
          <w:rFonts w:ascii="David" w:eastAsia="Calibri" w:hAnsi="David"/>
          <w:b/>
          <w:bCs/>
          <w:noProof w:val="0"/>
          <w:color w:val="000000" w:themeColor="text1"/>
          <w:rtl/>
        </w:rPr>
        <w:t>עניין מרום</w:t>
      </w:r>
      <w:r>
        <w:rPr>
          <w:rFonts w:ascii="David" w:eastAsia="Calibri" w:hAnsi="David"/>
          <w:noProof w:val="0"/>
          <w:color w:val="000000" w:themeColor="text1"/>
          <w:rtl/>
        </w:rPr>
        <w:t xml:space="preserve">") התווה </w:t>
      </w:r>
      <w:r>
        <w:rPr>
          <w:rFonts w:ascii="David" w:eastAsia="Calibri" w:hAnsi="David"/>
          <w:noProof w:val="0"/>
          <w:rtl/>
        </w:rPr>
        <w:t xml:space="preserve">בית המשפט </w:t>
      </w:r>
      <w:r>
        <w:rPr>
          <w:rFonts w:ascii="David" w:hAnsi="David"/>
          <w:b/>
          <w:bCs/>
          <w:noProof w:val="0"/>
          <w:rtl/>
        </w:rPr>
        <w:t xml:space="preserve">ארבעה מבחני עזר </w:t>
      </w:r>
      <w:r>
        <w:rPr>
          <w:rFonts w:ascii="David" w:hAnsi="David"/>
          <w:noProof w:val="0"/>
          <w:rtl/>
        </w:rPr>
        <w:t xml:space="preserve">להכרעה בשאלה – האם דינה של צוואה להתבטל נוכח השפעה בלתי הוגנת. </w:t>
      </w:r>
      <w:r>
        <w:rPr>
          <w:rFonts w:ascii="David" w:eastAsia="Calibri" w:hAnsi="David"/>
          <w:noProof w:val="0"/>
          <w:rtl/>
        </w:rPr>
        <w:t>מקום שבו ייקבע, כי מבחני העזר אכן מתקיימים, תקום חזקה לכאורה בדבר קיומה</w:t>
      </w:r>
      <w:r>
        <w:rPr>
          <w:rFonts w:ascii="David" w:hAnsi="David"/>
          <w:noProof w:val="0"/>
          <w:rtl/>
        </w:rPr>
        <w:t xml:space="preserve"> של השפעה בלתי הוגנת: </w:t>
      </w:r>
    </w:p>
    <w:p w:rsidR="00021B73" w:rsidRDefault="00021B73" w:rsidP="00021B73">
      <w:pPr>
        <w:pStyle w:val="a9"/>
        <w:spacing w:after="120" w:line="360" w:lineRule="auto"/>
        <w:ind w:left="0" w:firstLine="720"/>
        <w:jc w:val="both"/>
        <w:outlineLvl w:val="3"/>
        <w:rPr>
          <w:rFonts w:ascii="David" w:eastAsia="Calibri" w:hAnsi="David"/>
          <w:b/>
          <w:bCs/>
          <w:noProof w:val="0"/>
        </w:rPr>
      </w:pPr>
      <w:r>
        <w:rPr>
          <w:rFonts w:ascii="David" w:eastAsia="Calibri" w:hAnsi="David"/>
          <w:b/>
          <w:bCs/>
          <w:noProof w:val="0"/>
          <w:u w:val="single"/>
          <w:rtl/>
        </w:rPr>
        <w:t>מבחן העזר הראשון</w:t>
      </w:r>
      <w:r>
        <w:rPr>
          <w:rFonts w:ascii="David" w:eastAsia="Calibri" w:hAnsi="David"/>
          <w:b/>
          <w:bCs/>
          <w:noProof w:val="0"/>
          <w:rtl/>
        </w:rPr>
        <w:t xml:space="preserve"> נוגע לבחינת עצמאותו הגופנית והשכלית של המצווה; </w:t>
      </w:r>
    </w:p>
    <w:p w:rsidR="00021B73" w:rsidRDefault="00021B73" w:rsidP="00021B73">
      <w:pPr>
        <w:pStyle w:val="a9"/>
        <w:spacing w:after="120" w:line="360" w:lineRule="auto"/>
        <w:ind w:left="0" w:firstLine="720"/>
        <w:jc w:val="both"/>
        <w:outlineLvl w:val="3"/>
        <w:rPr>
          <w:rFonts w:ascii="David" w:eastAsia="Calibri" w:hAnsi="David"/>
          <w:b/>
          <w:bCs/>
          <w:noProof w:val="0"/>
          <w:rtl/>
        </w:rPr>
      </w:pPr>
      <w:r>
        <w:rPr>
          <w:rFonts w:ascii="David" w:eastAsia="Calibri" w:hAnsi="David"/>
          <w:b/>
          <w:bCs/>
          <w:noProof w:val="0"/>
          <w:u w:val="single"/>
          <w:rtl/>
        </w:rPr>
        <w:t>מבחן העזר השני</w:t>
      </w:r>
      <w:r>
        <w:rPr>
          <w:rFonts w:ascii="David" w:eastAsia="Calibri" w:hAnsi="David"/>
          <w:b/>
          <w:bCs/>
          <w:noProof w:val="0"/>
          <w:rtl/>
        </w:rPr>
        <w:t xml:space="preserve"> הוא מבחן התלות והסיוע בין הזוכה לבין המצווה; </w:t>
      </w:r>
    </w:p>
    <w:p w:rsidR="00021B73" w:rsidRDefault="00021B73" w:rsidP="00021B73">
      <w:pPr>
        <w:pStyle w:val="a9"/>
        <w:spacing w:after="120" w:line="360" w:lineRule="auto"/>
        <w:ind w:left="0" w:firstLine="720"/>
        <w:jc w:val="both"/>
        <w:outlineLvl w:val="3"/>
        <w:rPr>
          <w:rFonts w:ascii="David" w:eastAsia="Calibri" w:hAnsi="David"/>
          <w:b/>
          <w:bCs/>
          <w:noProof w:val="0"/>
          <w:rtl/>
        </w:rPr>
      </w:pPr>
      <w:r>
        <w:rPr>
          <w:rFonts w:ascii="David" w:eastAsia="Calibri" w:hAnsi="David"/>
          <w:b/>
          <w:bCs/>
          <w:noProof w:val="0"/>
          <w:u w:val="single"/>
          <w:rtl/>
        </w:rPr>
        <w:t>מבחן העזר השלישי</w:t>
      </w:r>
      <w:r>
        <w:rPr>
          <w:rFonts w:ascii="David" w:eastAsia="Calibri" w:hAnsi="David"/>
          <w:b/>
          <w:bCs/>
          <w:noProof w:val="0"/>
          <w:rtl/>
        </w:rPr>
        <w:t xml:space="preserve"> דן בקשרי המצווה עם אחרים זולת הזוכה על-פי הצוואה; </w:t>
      </w:r>
      <w:bookmarkStart w:id="1" w:name="_Hlk4457060"/>
    </w:p>
    <w:p w:rsidR="00021B73" w:rsidRDefault="00021B73" w:rsidP="00021B73">
      <w:pPr>
        <w:pStyle w:val="a9"/>
        <w:spacing w:after="240" w:line="360" w:lineRule="auto"/>
        <w:jc w:val="both"/>
        <w:outlineLvl w:val="3"/>
        <w:rPr>
          <w:rFonts w:ascii="David" w:hAnsi="David"/>
          <w:b/>
          <w:bCs/>
          <w:noProof w:val="0"/>
          <w:rtl/>
        </w:rPr>
      </w:pPr>
      <w:r>
        <w:rPr>
          <w:rFonts w:ascii="David" w:eastAsia="Calibri" w:hAnsi="David"/>
          <w:b/>
          <w:bCs/>
          <w:noProof w:val="0"/>
          <w:u w:val="single"/>
          <w:rtl/>
        </w:rPr>
        <w:t>מבחן העזר הרביעי</w:t>
      </w:r>
      <w:r>
        <w:rPr>
          <w:rFonts w:ascii="David" w:eastAsia="Calibri" w:hAnsi="David"/>
          <w:b/>
          <w:bCs/>
          <w:noProof w:val="0"/>
          <w:rtl/>
        </w:rPr>
        <w:t xml:space="preserve"> בוחן את נסיבות עריכת הצוואה, לרבות מידת מעורבותו של הזוכה בעריכתה</w:t>
      </w:r>
      <w:bookmarkEnd w:id="1"/>
      <w:r>
        <w:rPr>
          <w:rFonts w:ascii="David" w:eastAsia="Calibri" w:hAnsi="David"/>
          <w:b/>
          <w:bCs/>
          <w:noProof w:val="0"/>
          <w:rtl/>
        </w:rPr>
        <w:t>.</w:t>
      </w:r>
    </w:p>
    <w:p w:rsidR="00021B73" w:rsidRDefault="00021B73" w:rsidP="00021B73">
      <w:pPr>
        <w:pStyle w:val="2"/>
        <w:numPr>
          <w:ilvl w:val="0"/>
          <w:numId w:val="7"/>
        </w:numPr>
        <w:spacing w:after="120" w:line="360" w:lineRule="auto"/>
        <w:ind w:left="0" w:firstLine="0"/>
        <w:contextualSpacing w:val="0"/>
        <w:jc w:val="both"/>
        <w:rPr>
          <w:rFonts w:ascii="Arial" w:hAnsi="Arial"/>
          <w:noProof w:val="0"/>
          <w:rtl/>
        </w:rPr>
      </w:pPr>
      <w:r>
        <w:rPr>
          <w:rFonts w:ascii="Arial" w:hAnsi="Arial"/>
          <w:noProof w:val="0"/>
          <w:rtl/>
        </w:rPr>
        <w:t xml:space="preserve">נוסף על מבחני העזר שנקבעו בעניין מרום, יש לבחון את ההלכה שנקבע בפסק דינו של כבוד השופט נ' הנדל </w:t>
      </w:r>
      <w:r>
        <w:rPr>
          <w:rFonts w:ascii="David" w:hAnsi="David"/>
          <w:noProof w:val="0"/>
          <w:rtl/>
        </w:rPr>
        <w:t xml:space="preserve">בבע"מ 4459/14 </w:t>
      </w:r>
      <w:r>
        <w:rPr>
          <w:rFonts w:ascii="David" w:hAnsi="David"/>
          <w:b/>
          <w:bCs/>
          <w:noProof w:val="0"/>
          <w:rtl/>
        </w:rPr>
        <w:t>פלונית נ' פלונית</w:t>
      </w:r>
      <w:r>
        <w:rPr>
          <w:rFonts w:ascii="David" w:hAnsi="David"/>
          <w:noProof w:val="0"/>
          <w:rtl/>
        </w:rPr>
        <w:t xml:space="preserve"> (6.5.2015)</w:t>
      </w:r>
      <w:r>
        <w:rPr>
          <w:rFonts w:ascii="Miriam" w:hAnsi="Miriam" w:cs="Miriam"/>
          <w:noProof w:val="0"/>
          <w:rtl/>
        </w:rPr>
        <w:t xml:space="preserve"> </w:t>
      </w:r>
      <w:r>
        <w:rPr>
          <w:rFonts w:ascii="Arial" w:hAnsi="Arial"/>
          <w:noProof w:val="0"/>
          <w:rtl/>
        </w:rPr>
        <w:t xml:space="preserve">(להלן: </w:t>
      </w:r>
      <w:r>
        <w:rPr>
          <w:rFonts w:ascii="Arial" w:hAnsi="Arial"/>
          <w:b/>
          <w:bCs/>
          <w:noProof w:val="0"/>
          <w:rtl/>
        </w:rPr>
        <w:t>"הלכת החוטים השזורים"</w:t>
      </w:r>
      <w:r>
        <w:rPr>
          <w:rFonts w:ascii="Arial" w:hAnsi="Arial"/>
          <w:noProof w:val="0"/>
          <w:rtl/>
        </w:rPr>
        <w:t xml:space="preserve">). בהלכת החוטים השזורים אישר בית המשפט העליון את </w:t>
      </w:r>
      <w:r>
        <w:rPr>
          <w:rFonts w:ascii="David" w:hAnsi="David"/>
          <w:noProof w:val="0"/>
          <w:rtl/>
        </w:rPr>
        <w:t xml:space="preserve">נקודת המבט של בית המשפט המחוזי על </w:t>
      </w:r>
      <w:r>
        <w:rPr>
          <w:rFonts w:ascii="David" w:hAnsi="David"/>
          <w:b/>
          <w:bCs/>
          <w:noProof w:val="0"/>
          <w:rtl/>
        </w:rPr>
        <w:t>בחינת סוגיית ההשפעה הבלתי הוגנת כמכלול</w:t>
      </w:r>
      <w:r>
        <w:rPr>
          <w:rFonts w:ascii="David" w:hAnsi="David"/>
          <w:noProof w:val="0"/>
          <w:rtl/>
        </w:rPr>
        <w:t xml:space="preserve">: </w:t>
      </w:r>
    </w:p>
    <w:p w:rsidR="00021B73" w:rsidRDefault="00021B73" w:rsidP="00021B73">
      <w:pPr>
        <w:pStyle w:val="2"/>
        <w:spacing w:before="240" w:after="240"/>
        <w:ind w:left="1134" w:right="1134"/>
        <w:jc w:val="both"/>
        <w:rPr>
          <w:rFonts w:ascii="David" w:hAnsi="David"/>
          <w:noProof w:val="0"/>
        </w:rPr>
      </w:pPr>
      <w:r>
        <w:rPr>
          <w:rFonts w:ascii="David" w:hAnsi="David"/>
          <w:b/>
          <w:bCs/>
          <w:noProof w:val="0"/>
          <w:rtl/>
        </w:rPr>
        <w:t xml:space="preserve">"התשובה לכך נעוצה בנקודת מבטו של בית המשפט המחוזי. הוא בחן את סוגיית ההשפעה הבלתי הוגנת כמכלול. כך ראוי לנהוג. הנטל להוכיח עילת פסלות זאת רובץ על המבקש את פסלות הצוואה... אך יש לזכור כי לא פעם הראיות הינן נסיבתיות (ראו, למשל, הלכת מרום בעמ' 848). בענייננו, המשיב טען לעילות פסלות נוספות, כגון העדר כשרות ומעורבות בעריכת הצוואה. סבורני כי בצדק נדחו עילות אלה על ידי בית המשפט לענייני משפחה. אך עדיין, חוטים שונים של עילות שונות – הגם שלא היה בכוחם לבסס עילה עצמאית – יכולים להישזר יחד לרבדים המחזקים ומבססים את מסקנת בית המשפט המחוזי. ההשפעה הבלתי הוגנת העולה עד כדי שלילת הבחירה החופשית של המצווה הינה מבחן </w:t>
      </w:r>
      <w:r>
        <w:rPr>
          <w:rFonts w:ascii="David" w:hAnsi="David"/>
          <w:b/>
          <w:bCs/>
          <w:noProof w:val="0"/>
          <w:rtl/>
        </w:rPr>
        <w:lastRenderedPageBreak/>
        <w:t>דינאמי ורחב כקשת החיים. בית המשפט המחוזי נעזר בחוטים השונים כדי להגיע לראייה כוללת המשקפת את מלוא התמונה. מכאן וביישום הדברים, נראה לי נכון להעדיף את פסק דינו של בית המשפט המחוזי על פני זה של בית המשפט לענייני משפחה"</w:t>
      </w:r>
      <w:r>
        <w:rPr>
          <w:rFonts w:ascii="David" w:hAnsi="David"/>
          <w:noProof w:val="0"/>
          <w:rtl/>
        </w:rPr>
        <w:t xml:space="preserve">. </w:t>
      </w:r>
    </w:p>
    <w:p w:rsidR="00021B73" w:rsidRDefault="00021B73" w:rsidP="00021B73">
      <w:pPr>
        <w:pStyle w:val="a9"/>
        <w:numPr>
          <w:ilvl w:val="0"/>
          <w:numId w:val="7"/>
        </w:numPr>
        <w:spacing w:after="240" w:line="360" w:lineRule="auto"/>
        <w:ind w:left="0" w:firstLine="0"/>
        <w:jc w:val="both"/>
        <w:rPr>
          <w:rFonts w:ascii="David" w:hAnsi="David"/>
          <w:noProof w:val="0"/>
        </w:rPr>
      </w:pPr>
      <w:r>
        <w:rPr>
          <w:rFonts w:ascii="David" w:hAnsi="David"/>
          <w:noProof w:val="0"/>
          <w:rtl/>
        </w:rPr>
        <w:t xml:space="preserve">נפנה עתה אל נסיבות המקרה דנן ובחינתו בשים לב לארבעת מבחני העזר, להלכת החוטים השזורים </w:t>
      </w:r>
      <w:r w:rsidRPr="00E2072E">
        <w:rPr>
          <w:rFonts w:ascii="David" w:hAnsi="David"/>
          <w:b/>
          <w:bCs/>
          <w:noProof w:val="0"/>
          <w:rtl/>
        </w:rPr>
        <w:t>ודוקטרינת הזקן המוחלש</w:t>
      </w:r>
      <w:r>
        <w:rPr>
          <w:rFonts w:ascii="David" w:hAnsi="David"/>
          <w:noProof w:val="0"/>
          <w:rtl/>
        </w:rPr>
        <w:t xml:space="preserve"> ת</w:t>
      </w:r>
      <w:r>
        <w:rPr>
          <w:rFonts w:ascii="David" w:hAnsi="David"/>
          <w:noProof w:val="0"/>
        </w:rPr>
        <w:t>"</w:t>
      </w:r>
      <w:r>
        <w:rPr>
          <w:rFonts w:ascii="David" w:hAnsi="David"/>
          <w:noProof w:val="0"/>
          <w:rtl/>
        </w:rPr>
        <w:t>ע (ת"א) 40917-10-17 </w:t>
      </w:r>
      <w:r>
        <w:rPr>
          <w:rFonts w:ascii="David" w:hAnsi="David"/>
          <w:b/>
          <w:bCs/>
          <w:noProof w:val="0"/>
          <w:rtl/>
        </w:rPr>
        <w:t>ש' א</w:t>
      </w:r>
      <w:r>
        <w:rPr>
          <w:rFonts w:ascii="David" w:hAnsi="David"/>
          <w:b/>
          <w:bCs/>
          <w:noProof w:val="0"/>
        </w:rPr>
        <w:t>' </w:t>
      </w:r>
      <w:r>
        <w:rPr>
          <w:rFonts w:ascii="David" w:hAnsi="David"/>
          <w:b/>
          <w:bCs/>
          <w:noProof w:val="0"/>
          <w:rtl/>
        </w:rPr>
        <w:t>נ</w:t>
      </w:r>
      <w:r>
        <w:rPr>
          <w:rFonts w:ascii="David" w:hAnsi="David"/>
          <w:b/>
          <w:bCs/>
          <w:noProof w:val="0"/>
        </w:rPr>
        <w:t>'</w:t>
      </w:r>
      <w:r>
        <w:rPr>
          <w:rFonts w:ascii="David" w:hAnsi="David"/>
          <w:noProof w:val="0"/>
        </w:rPr>
        <w:t> </w:t>
      </w:r>
      <w:r>
        <w:rPr>
          <w:rFonts w:ascii="David" w:hAnsi="David"/>
          <w:b/>
          <w:bCs/>
          <w:noProof w:val="0"/>
          <w:rtl/>
        </w:rPr>
        <w:t>ד' ג' ש</w:t>
      </w:r>
      <w:r>
        <w:rPr>
          <w:rFonts w:ascii="David" w:hAnsi="David"/>
          <w:b/>
          <w:bCs/>
          <w:noProof w:val="0"/>
        </w:rPr>
        <w:t>'</w:t>
      </w:r>
      <w:r>
        <w:rPr>
          <w:rFonts w:ascii="David" w:hAnsi="David"/>
          <w:noProof w:val="0"/>
          <w:rtl/>
        </w:rPr>
        <w:t xml:space="preserve"> (21.9.2020).</w:t>
      </w:r>
    </w:p>
    <w:p w:rsidR="00021B73" w:rsidRDefault="00021B73" w:rsidP="00021B73">
      <w:pPr>
        <w:spacing w:after="120" w:line="360" w:lineRule="auto"/>
        <w:ind w:left="-57"/>
        <w:jc w:val="both"/>
        <w:rPr>
          <w:rFonts w:ascii="Arial" w:hAnsi="Arial"/>
          <w:b/>
          <w:bCs/>
          <w:noProof w:val="0"/>
          <w:sz w:val="28"/>
          <w:szCs w:val="28"/>
        </w:rPr>
      </w:pPr>
      <w:r>
        <w:rPr>
          <w:rFonts w:ascii="Arial" w:hAnsi="Arial"/>
          <w:b/>
          <w:bCs/>
          <w:noProof w:val="0"/>
          <w:sz w:val="28"/>
          <w:szCs w:val="28"/>
          <w:u w:val="single"/>
          <w:rtl/>
        </w:rPr>
        <w:t>מבחן העזר הראשון – מידת עצמאותה הגופנית והשכלית של המנוחה</w:t>
      </w:r>
    </w:p>
    <w:p w:rsidR="00021B73" w:rsidRDefault="00021B73" w:rsidP="00021B73">
      <w:pPr>
        <w:numPr>
          <w:ilvl w:val="0"/>
          <w:numId w:val="7"/>
        </w:numPr>
        <w:spacing w:before="100" w:beforeAutospacing="1" w:after="240" w:line="360" w:lineRule="auto"/>
        <w:ind w:left="0" w:firstLine="0"/>
        <w:jc w:val="both"/>
        <w:outlineLvl w:val="3"/>
        <w:rPr>
          <w:rFonts w:ascii="David" w:eastAsia="Calibri" w:hAnsi="David"/>
          <w:b/>
          <w:bCs/>
          <w:noProof w:val="0"/>
          <w:u w:val="single"/>
          <w:rtl/>
        </w:rPr>
      </w:pPr>
      <w:r>
        <w:rPr>
          <w:rFonts w:ascii="David" w:eastAsia="Calibri" w:hAnsi="David"/>
          <w:noProof w:val="0"/>
          <w:rtl/>
        </w:rPr>
        <w:t xml:space="preserve">מבחן העזר הראשון, מחייב את בית המשפט לבחון האם המנוחה הייתה עצמאית הן מהבחינה השכלית הכרתית, הן מהבחינה הפיזית </w:t>
      </w:r>
      <w:r>
        <w:rPr>
          <w:rFonts w:ascii="David" w:eastAsia="Calibri" w:hAnsi="David"/>
          <w:b/>
          <w:bCs/>
          <w:noProof w:val="0"/>
          <w:rtl/>
        </w:rPr>
        <w:t>במועד עריכת הצוואה</w:t>
      </w:r>
      <w:r>
        <w:rPr>
          <w:rFonts w:ascii="David" w:eastAsia="Calibri" w:hAnsi="David"/>
          <w:noProof w:val="0"/>
          <w:rtl/>
        </w:rPr>
        <w:t>. הדגש הוא על העצמאות השכלית-הכרתית כאשר בתוך כך, ייתכן שעצמאות זו תחפה על קיומה של תלות פיזית לצורך בחינת כושרו של המצווה (</w:t>
      </w:r>
      <w:r>
        <w:rPr>
          <w:rFonts w:ascii="David" w:eastAsia="Calibri" w:hAnsi="David"/>
          <w:noProof w:val="0"/>
          <w:color w:val="000000" w:themeColor="text1"/>
          <w:rtl/>
        </w:rPr>
        <w:t xml:space="preserve">ת"ע (ת"א) 47214-07-12 </w:t>
      </w:r>
      <w:r>
        <w:rPr>
          <w:rFonts w:ascii="David" w:eastAsia="Calibri" w:hAnsi="David"/>
          <w:b/>
          <w:bCs/>
          <w:noProof w:val="0"/>
          <w:color w:val="000000" w:themeColor="text1"/>
          <w:rtl/>
        </w:rPr>
        <w:t xml:space="preserve">א' </w:t>
      </w:r>
      <w:r>
        <w:rPr>
          <w:rFonts w:ascii="David" w:eastAsia="Calibri" w:hAnsi="David"/>
          <w:b/>
          <w:bCs/>
          <w:noProof w:val="0"/>
          <w:rtl/>
        </w:rPr>
        <w:t>ל' נ' ש' א'</w:t>
      </w:r>
      <w:r>
        <w:rPr>
          <w:rFonts w:ascii="David" w:eastAsia="Calibri" w:hAnsi="David"/>
          <w:noProof w:val="0"/>
          <w:rtl/>
        </w:rPr>
        <w:t>, פסקה 95 (17.1.2016)). כלומר,</w:t>
      </w:r>
      <w:r>
        <w:rPr>
          <w:rFonts w:ascii="David" w:hAnsi="David"/>
        </w:rPr>
        <w:t xml:space="preserve"> </w:t>
      </w:r>
      <w:r>
        <w:rPr>
          <w:rFonts w:ascii="David" w:hAnsi="David"/>
          <w:noProof w:val="0"/>
          <w:rtl/>
        </w:rPr>
        <w:t>תלות</w:t>
      </w:r>
      <w:r>
        <w:rPr>
          <w:rFonts w:ascii="David" w:hAnsi="David"/>
        </w:rPr>
        <w:t xml:space="preserve"> </w:t>
      </w:r>
      <w:r>
        <w:rPr>
          <w:rFonts w:ascii="David" w:hAnsi="David"/>
          <w:noProof w:val="0"/>
          <w:rtl/>
        </w:rPr>
        <w:t>פיזית אינה</w:t>
      </w:r>
      <w:r>
        <w:rPr>
          <w:rFonts w:ascii="David" w:hAnsi="David"/>
        </w:rPr>
        <w:t xml:space="preserve"> </w:t>
      </w:r>
      <w:r>
        <w:rPr>
          <w:rFonts w:ascii="David" w:hAnsi="David"/>
          <w:noProof w:val="0"/>
          <w:rtl/>
        </w:rPr>
        <w:t>עדות</w:t>
      </w:r>
      <w:r>
        <w:rPr>
          <w:rFonts w:ascii="David" w:hAnsi="David"/>
        </w:rPr>
        <w:t xml:space="preserve"> </w:t>
      </w:r>
      <w:r>
        <w:rPr>
          <w:rFonts w:ascii="David" w:hAnsi="David"/>
          <w:noProof w:val="0"/>
          <w:rtl/>
        </w:rPr>
        <w:t>מספקת</w:t>
      </w:r>
      <w:r>
        <w:rPr>
          <w:rFonts w:ascii="David" w:hAnsi="David"/>
        </w:rPr>
        <w:t xml:space="preserve"> </w:t>
      </w:r>
      <w:r>
        <w:rPr>
          <w:rFonts w:ascii="David" w:hAnsi="David"/>
          <w:noProof w:val="0"/>
          <w:rtl/>
        </w:rPr>
        <w:t>לכך שהייתה אצל המנוחה תלות</w:t>
      </w:r>
      <w:r>
        <w:rPr>
          <w:rFonts w:ascii="David" w:hAnsi="David"/>
        </w:rPr>
        <w:t xml:space="preserve"> </w:t>
      </w:r>
      <w:r>
        <w:rPr>
          <w:rFonts w:ascii="David" w:hAnsi="David"/>
          <w:noProof w:val="0"/>
          <w:rtl/>
        </w:rPr>
        <w:t>בזולת כמשמעותה במבחן עזר זה.</w:t>
      </w:r>
    </w:p>
    <w:p w:rsidR="00021B73" w:rsidRDefault="00021B73" w:rsidP="00021B73">
      <w:pPr>
        <w:numPr>
          <w:ilvl w:val="0"/>
          <w:numId w:val="7"/>
        </w:numPr>
        <w:spacing w:before="100" w:beforeAutospacing="1" w:after="120" w:line="360" w:lineRule="auto"/>
        <w:ind w:left="0" w:firstLine="0"/>
        <w:jc w:val="both"/>
        <w:outlineLvl w:val="3"/>
        <w:rPr>
          <w:rFonts w:ascii="David" w:eastAsia="Calibri" w:hAnsi="David"/>
          <w:b/>
          <w:bCs/>
          <w:noProof w:val="0"/>
          <w:u w:val="single"/>
          <w:rtl/>
        </w:rPr>
      </w:pPr>
      <w:r>
        <w:rPr>
          <w:rFonts w:ascii="David" w:eastAsia="Calibri" w:hAnsi="David"/>
          <w:noProof w:val="0"/>
          <w:rtl/>
        </w:rPr>
        <w:t xml:space="preserve">לשם כך עלינו להידרש גם לצורך </w:t>
      </w:r>
      <w:r>
        <w:rPr>
          <w:rFonts w:ascii="David" w:eastAsia="Calibri" w:hAnsi="David"/>
          <w:b/>
          <w:bCs/>
          <w:noProof w:val="0"/>
          <w:rtl/>
        </w:rPr>
        <w:t>בחינת כשרותה</w:t>
      </w:r>
      <w:r>
        <w:rPr>
          <w:rFonts w:ascii="David" w:eastAsia="Calibri" w:hAnsi="David"/>
          <w:noProof w:val="0"/>
          <w:rtl/>
        </w:rPr>
        <w:t xml:space="preserve"> של המנוחה. על בית המשפט לבחון את מצבה הנפשי, המנטלי והגופני ולהעריך האם המצב שבו הייתה נתונה עלול היה להשפיע על יכולתה "</w:t>
      </w:r>
      <w:r>
        <w:rPr>
          <w:rFonts w:ascii="David" w:eastAsia="Calibri" w:hAnsi="David"/>
          <w:b/>
          <w:bCs/>
          <w:noProof w:val="0"/>
          <w:rtl/>
        </w:rPr>
        <w:t>להבחין בטיבה של צוואה</w:t>
      </w:r>
      <w:r>
        <w:rPr>
          <w:rFonts w:ascii="David" w:eastAsia="Calibri" w:hAnsi="David"/>
          <w:noProof w:val="0"/>
          <w:rtl/>
        </w:rPr>
        <w:t>" (</w:t>
      </w:r>
      <w:r>
        <w:rPr>
          <w:rFonts w:ascii="David" w:eastAsia="Calibri" w:hAnsi="David"/>
          <w:b/>
          <w:bCs/>
          <w:noProof w:val="0"/>
          <w:color w:val="000000" w:themeColor="text1"/>
          <w:rtl/>
        </w:rPr>
        <w:t>עניין קרן לב"י</w:t>
      </w:r>
      <w:r>
        <w:rPr>
          <w:rFonts w:ascii="David" w:eastAsia="Calibri" w:hAnsi="David"/>
          <w:noProof w:val="0"/>
          <w:color w:val="000000" w:themeColor="text1"/>
          <w:rtl/>
        </w:rPr>
        <w:t xml:space="preserve">; רע"א 7019/94 </w:t>
      </w:r>
      <w:r>
        <w:rPr>
          <w:rFonts w:ascii="David" w:eastAsia="Calibri" w:hAnsi="David"/>
          <w:b/>
          <w:bCs/>
          <w:noProof w:val="0"/>
          <w:color w:val="000000" w:themeColor="text1"/>
          <w:rtl/>
        </w:rPr>
        <w:t>גדעון ליפבסקי נ' עמליה דן</w:t>
      </w:r>
      <w:r>
        <w:rPr>
          <w:rFonts w:ascii="David" w:eastAsia="Calibri" w:hAnsi="David"/>
          <w:noProof w:val="0"/>
          <w:color w:val="000000" w:themeColor="text1"/>
          <w:rtl/>
        </w:rPr>
        <w:t xml:space="preserve"> (6.1.1997)). לצורך כך, התוותה הפסיקה שלושה פרמטרים עיקריים (</w:t>
      </w:r>
      <w:r>
        <w:rPr>
          <w:rFonts w:ascii="Arial" w:eastAsia="Calibri" w:hAnsi="Arial"/>
          <w:noProof w:val="0"/>
          <w:color w:val="000000" w:themeColor="text1"/>
          <w:rtl/>
        </w:rPr>
        <w:t xml:space="preserve">ע"א 851/79 </w:t>
      </w:r>
      <w:r>
        <w:rPr>
          <w:rFonts w:ascii="Arial" w:eastAsia="Calibri" w:hAnsi="Arial"/>
          <w:b/>
          <w:bCs/>
          <w:noProof w:val="0"/>
          <w:color w:val="000000" w:themeColor="text1"/>
          <w:rtl/>
        </w:rPr>
        <w:t>שולמית בנדל נ'</w:t>
      </w:r>
      <w:r>
        <w:rPr>
          <w:rFonts w:ascii="Arial" w:eastAsia="Calibri" w:hAnsi="Arial"/>
          <w:noProof w:val="0"/>
          <w:color w:val="000000" w:themeColor="text1"/>
          <w:rtl/>
        </w:rPr>
        <w:t xml:space="preserve"> </w:t>
      </w:r>
      <w:r>
        <w:rPr>
          <w:rFonts w:ascii="Arial" w:eastAsia="Calibri" w:hAnsi="Arial"/>
          <w:b/>
          <w:bCs/>
          <w:noProof w:val="0"/>
          <w:color w:val="000000" w:themeColor="text1"/>
          <w:rtl/>
        </w:rPr>
        <w:t>דורון בנדל</w:t>
      </w:r>
      <w:r>
        <w:rPr>
          <w:rFonts w:ascii="Arial" w:eastAsia="Calibri" w:hAnsi="Arial"/>
          <w:noProof w:val="0"/>
          <w:color w:val="000000" w:themeColor="text1"/>
          <w:rtl/>
        </w:rPr>
        <w:t xml:space="preserve">, פ"ד לה </w:t>
      </w:r>
      <w:r>
        <w:rPr>
          <w:rFonts w:ascii="Arial" w:eastAsia="Calibri" w:hAnsi="Arial"/>
          <w:noProof w:val="0"/>
          <w:rtl/>
        </w:rPr>
        <w:t>(3) 101</w:t>
      </w:r>
      <w:r>
        <w:rPr>
          <w:rFonts w:ascii="David" w:eastAsia="Calibri" w:hAnsi="David"/>
          <w:noProof w:val="0"/>
          <w:rtl/>
        </w:rPr>
        <w:t>, 105 (1981)):</w:t>
      </w:r>
    </w:p>
    <w:p w:rsidR="00021B73" w:rsidRDefault="00021B73" w:rsidP="00021B73">
      <w:pPr>
        <w:numPr>
          <w:ilvl w:val="0"/>
          <w:numId w:val="8"/>
        </w:numPr>
        <w:spacing w:after="240" w:line="360" w:lineRule="auto"/>
        <w:ind w:left="1076" w:hanging="226"/>
        <w:contextualSpacing/>
        <w:jc w:val="both"/>
        <w:rPr>
          <w:rFonts w:ascii="David" w:eastAsia="Calibri" w:hAnsi="David"/>
          <w:noProof w:val="0"/>
        </w:rPr>
      </w:pPr>
      <w:r>
        <w:rPr>
          <w:rFonts w:ascii="David" w:eastAsia="Calibri" w:hAnsi="David"/>
          <w:noProof w:val="0"/>
          <w:rtl/>
        </w:rPr>
        <w:t xml:space="preserve">מודעותו של המצווה לעצם עריכת הצוואה; </w:t>
      </w:r>
    </w:p>
    <w:p w:rsidR="00021B73" w:rsidRDefault="00021B73" w:rsidP="00021B73">
      <w:pPr>
        <w:numPr>
          <w:ilvl w:val="0"/>
          <w:numId w:val="8"/>
        </w:numPr>
        <w:spacing w:before="100" w:beforeAutospacing="1" w:after="240" w:line="360" w:lineRule="auto"/>
        <w:ind w:left="1076" w:hanging="226"/>
        <w:contextualSpacing/>
        <w:jc w:val="both"/>
        <w:rPr>
          <w:rFonts w:ascii="David" w:eastAsia="Calibri" w:hAnsi="David"/>
          <w:noProof w:val="0"/>
          <w:rtl/>
        </w:rPr>
      </w:pPr>
      <w:r>
        <w:rPr>
          <w:rFonts w:ascii="David" w:eastAsia="Calibri" w:hAnsi="David"/>
          <w:noProof w:val="0"/>
          <w:rtl/>
        </w:rPr>
        <w:t xml:space="preserve">מודעותו של המצווה להיקף רכושו; </w:t>
      </w:r>
    </w:p>
    <w:p w:rsidR="00021B73" w:rsidRDefault="00021B73" w:rsidP="00021B73">
      <w:pPr>
        <w:numPr>
          <w:ilvl w:val="0"/>
          <w:numId w:val="8"/>
        </w:numPr>
        <w:spacing w:before="100" w:beforeAutospacing="1" w:after="240" w:line="360" w:lineRule="auto"/>
        <w:ind w:left="1076" w:hanging="226"/>
        <w:contextualSpacing/>
        <w:jc w:val="both"/>
        <w:rPr>
          <w:rFonts w:ascii="David" w:eastAsia="Calibri" w:hAnsi="David"/>
          <w:noProof w:val="0"/>
          <w:rtl/>
        </w:rPr>
      </w:pPr>
      <w:r>
        <w:rPr>
          <w:rFonts w:ascii="David" w:eastAsia="Calibri" w:hAnsi="David"/>
          <w:noProof w:val="0"/>
          <w:rtl/>
        </w:rPr>
        <w:t xml:space="preserve">מודעותו של המצווה לתוצאות עשיית הצוואה ביחס ליורשיו. </w:t>
      </w:r>
    </w:p>
    <w:p w:rsidR="00021B73" w:rsidRPr="00E2072E" w:rsidRDefault="00021B73" w:rsidP="00021B73">
      <w:pPr>
        <w:pStyle w:val="a9"/>
        <w:numPr>
          <w:ilvl w:val="0"/>
          <w:numId w:val="7"/>
        </w:numPr>
        <w:spacing w:after="240" w:line="360" w:lineRule="auto"/>
        <w:ind w:left="0" w:firstLine="0"/>
        <w:contextualSpacing w:val="0"/>
        <w:jc w:val="both"/>
        <w:rPr>
          <w:rFonts w:ascii="Arial" w:hAnsi="Arial"/>
          <w:noProof w:val="0"/>
        </w:rPr>
      </w:pPr>
      <w:r>
        <w:rPr>
          <w:noProof w:val="0"/>
          <w:rtl/>
        </w:rPr>
        <w:t>אין חולק, כי במועד עריכת הצוואה סבלה המנוחה מבעיות בריאותיות מגוונות</w:t>
      </w:r>
      <w:r>
        <w:rPr>
          <w:rFonts w:hint="cs"/>
          <w:noProof w:val="0"/>
          <w:rtl/>
        </w:rPr>
        <w:t xml:space="preserve">, וזאת אף בשים לב, שבאותו מועד הייתה ניצולת שואה כבת 80 שנים. </w:t>
      </w:r>
      <w:r>
        <w:rPr>
          <w:noProof w:val="0"/>
          <w:rtl/>
        </w:rPr>
        <w:t xml:space="preserve">אומנם, בעיות בריאותיות אלה פגעו בעצמאותה הפיזית של המנוחה. עם זאת, ניכר שעצמאותה הפיזית המהותית של המנוחה נשמרה </w:t>
      </w:r>
      <w:r>
        <w:rPr>
          <w:rFonts w:hint="cs"/>
          <w:noProof w:val="0"/>
          <w:rtl/>
        </w:rPr>
        <w:t xml:space="preserve">יחסית </w:t>
      </w:r>
      <w:r>
        <w:rPr>
          <w:noProof w:val="0"/>
          <w:rtl/>
        </w:rPr>
        <w:t>גם בתקופת מועד עריכת הצוואה.</w:t>
      </w:r>
    </w:p>
    <w:p w:rsidR="00021B73" w:rsidRPr="003F6F2E"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בסמוך למועד עריכת הצוואה המנוחה סבלה מחוסר יציבות בהליכתה ואף החלה להתקשות בה. ייתכן וסביר כי במרבית הפעמים שיצאה מביתה לוותה על ידי המבקשת או המתנגדת. עם זאת, המבקשת עמדה על כך שהיו פעמים בהן המנוחה יצאה את ביתה בכוחות עצמה וזאת למורת רוחה. </w:t>
      </w:r>
    </w:p>
    <w:p w:rsidR="00021B73" w:rsidRPr="002C2B4B" w:rsidRDefault="00021B73" w:rsidP="00021B73">
      <w:pPr>
        <w:pStyle w:val="a9"/>
        <w:numPr>
          <w:ilvl w:val="0"/>
          <w:numId w:val="7"/>
        </w:numPr>
        <w:spacing w:after="120" w:line="360" w:lineRule="auto"/>
        <w:ind w:left="0" w:firstLine="0"/>
        <w:contextualSpacing w:val="0"/>
        <w:jc w:val="both"/>
        <w:rPr>
          <w:rFonts w:ascii="David" w:hAnsi="David"/>
          <w:noProof w:val="0"/>
        </w:rPr>
      </w:pPr>
      <w:r>
        <w:rPr>
          <w:rFonts w:hint="cs"/>
          <w:noProof w:val="0"/>
          <w:rtl/>
        </w:rPr>
        <w:t xml:space="preserve">כאמור, המנוחה התגוררה בגפה בדירתה. </w:t>
      </w:r>
      <w:r>
        <w:rPr>
          <w:rFonts w:ascii="Arial" w:hAnsi="Arial" w:hint="cs"/>
          <w:noProof w:val="0"/>
          <w:rtl/>
        </w:rPr>
        <w:t xml:space="preserve">המבקשת החלה ללון בביתה של המנוחה החל מאפריל 2014 ועברה להתגורר יחד עמה לכל המוקדם בדצמבר 2014 (לשיטתה של המתנגדת רק ב-2016). המנוחה החלה מסתייעת במטפלת רק החל </w:t>
      </w:r>
      <w:r w:rsidRPr="00A16575">
        <w:rPr>
          <w:rFonts w:ascii="Arial" w:hAnsi="Arial" w:hint="cs"/>
          <w:noProof w:val="0"/>
          <w:rtl/>
        </w:rPr>
        <w:t>מחודש</w:t>
      </w:r>
      <w:r>
        <w:rPr>
          <w:rFonts w:ascii="Arial" w:hAnsi="Arial" w:hint="cs"/>
          <w:noProof w:val="0"/>
          <w:rtl/>
        </w:rPr>
        <w:t xml:space="preserve"> יולי</w:t>
      </w:r>
      <w:r w:rsidRPr="00A16575">
        <w:rPr>
          <w:rFonts w:ascii="Arial" w:hAnsi="Arial" w:hint="cs"/>
          <w:noProof w:val="0"/>
          <w:rtl/>
        </w:rPr>
        <w:t xml:space="preserve"> 2014.</w:t>
      </w:r>
      <w:r>
        <w:rPr>
          <w:rFonts w:ascii="Arial" w:hAnsi="Arial" w:hint="cs"/>
          <w:noProof w:val="0"/>
          <w:rtl/>
        </w:rPr>
        <w:t xml:space="preserve"> משכך עולה, כי </w:t>
      </w:r>
      <w:r>
        <w:rPr>
          <w:rFonts w:hint="cs"/>
          <w:noProof w:val="0"/>
          <w:rtl/>
        </w:rPr>
        <w:t>המנוחה ביצעה את הפעולות היומיות בכוחות עצמה ללא סיוע.</w:t>
      </w:r>
      <w:r>
        <w:rPr>
          <w:rFonts w:ascii="Arial" w:hAnsi="Arial" w:hint="cs"/>
          <w:noProof w:val="0"/>
          <w:rtl/>
        </w:rPr>
        <w:t xml:space="preserve"> כך גם עלה ממסמך רפואי מיום</w:t>
      </w:r>
      <w:r w:rsidRPr="0053764A">
        <w:rPr>
          <w:rFonts w:ascii="David" w:hAnsi="David" w:hint="cs"/>
          <w:noProof w:val="0"/>
          <w:rtl/>
        </w:rPr>
        <w:t xml:space="preserve"> 9.4.2014 כמפורט בסעיף 6, בעמ' 6 לחוות הדעת.</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noProof w:val="0"/>
          <w:rtl/>
        </w:rPr>
        <w:t xml:space="preserve">נוסף לפן הפיזי, בתקופת עריכת הצוואה הייתה המנוחה עצמאית גם בפן ההכרתי – במחשבותיה ורצונותיה. </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אין חולק שהמנוחה הייתה ניצולת שואה, וכי אירועי העבר בוודאי השפיעו על מצבה הנפשי. אלא שבין הצדדים שנויה מחלוקת על מידת ההשפעה שהיו לאירועי העבר על המנוחה במהלך חייה. </w:t>
      </w:r>
    </w:p>
    <w:p w:rsidR="00021B73" w:rsidRPr="000D0F3A" w:rsidRDefault="00021B73" w:rsidP="00021B73">
      <w:pPr>
        <w:pStyle w:val="a9"/>
        <w:numPr>
          <w:ilvl w:val="0"/>
          <w:numId w:val="7"/>
        </w:numPr>
        <w:spacing w:after="240" w:line="360" w:lineRule="auto"/>
        <w:ind w:left="0" w:firstLine="0"/>
        <w:contextualSpacing w:val="0"/>
        <w:jc w:val="both"/>
        <w:rPr>
          <w:rFonts w:ascii="Arial" w:hAnsi="Arial"/>
          <w:noProof w:val="0"/>
        </w:rPr>
      </w:pPr>
      <w:r w:rsidRPr="000D0F3A">
        <w:rPr>
          <w:rFonts w:ascii="Arial" w:hAnsi="Arial" w:hint="cs"/>
          <w:noProof w:val="0"/>
          <w:rtl/>
        </w:rPr>
        <w:t>החל משנת 1999 הוכרה המנוחה כבעלת אחוזי נכות נפשית, וזאת על סמך טענותיה בדבר השפעות מאורעות העבר על מצבה הנפשי (נספחים 3-2 לתצהיר עדותה הראשית של המתנגדת). עם זאת, אין חולק כי חרף הקושי הנפשי והנטייה לסבול מחרדות ודיכאונות לעיתים, המנוחה נישאה בחייה ואף הקימה משפחה, עבדה ואף סייעה רבות למבקשת בטיפול ב</w:t>
      </w:r>
      <w:r>
        <w:rPr>
          <w:rFonts w:ascii="Arial" w:hAnsi="Arial" w:hint="cs"/>
          <w:noProof w:val="0"/>
          <w:rtl/>
        </w:rPr>
        <w:t>נכד</w:t>
      </w:r>
      <w:r w:rsidRPr="000D0F3A">
        <w:rPr>
          <w:rFonts w:ascii="Arial" w:hAnsi="Arial" w:hint="cs"/>
          <w:noProof w:val="0"/>
          <w:rtl/>
        </w:rPr>
        <w:t xml:space="preserve">ה. ברי כי לא כל נכות נפשית מעידה בהכרח על היעדר כשרות משפטית (ע"א 226/87 </w:t>
      </w:r>
      <w:r w:rsidRPr="000D0F3A">
        <w:rPr>
          <w:b/>
          <w:bCs/>
          <w:noProof w:val="0"/>
          <w:rtl/>
        </w:rPr>
        <w:t>אחמד זועבי נ' עבוד ניקולא</w:t>
      </w:r>
      <w:r w:rsidRPr="00BF20C2">
        <w:rPr>
          <w:noProof w:val="0"/>
          <w:rtl/>
        </w:rPr>
        <w:t>, פ"ד מג(1) 714, 718-717 (1989)</w:t>
      </w:r>
      <w:r w:rsidRPr="00BF20C2">
        <w:rPr>
          <w:rFonts w:hint="cs"/>
          <w:noProof w:val="0"/>
          <w:rtl/>
        </w:rPr>
        <w:t>; ראו הרחבה על טענת היעדר כשרות ביחס ללוקה בנפשו בפסק דיני ב-תמ"ש (</w:t>
      </w:r>
      <w:r w:rsidRPr="000D0F3A">
        <w:rPr>
          <w:rFonts w:ascii="David" w:hAnsi="David"/>
          <w:color w:val="000000"/>
          <w:rtl/>
        </w:rPr>
        <w:t xml:space="preserve">ת"א) 20800-07-18 </w:t>
      </w:r>
      <w:r w:rsidRPr="000D0F3A">
        <w:rPr>
          <w:rFonts w:ascii="David" w:hAnsi="David"/>
          <w:b/>
          <w:bCs/>
          <w:color w:val="000000"/>
          <w:rtl/>
        </w:rPr>
        <w:t>ג.ג נ' ח. ש.</w:t>
      </w:r>
      <w:r w:rsidRPr="00BF20C2">
        <w:rPr>
          <w:rFonts w:hint="cs"/>
          <w:noProof w:val="0"/>
          <w:rtl/>
        </w:rPr>
        <w:t xml:space="preserve"> (14.6.2022)</w:t>
      </w:r>
      <w:r w:rsidRPr="00BF20C2">
        <w:rPr>
          <w:noProof w:val="0"/>
          <w:rtl/>
        </w:rPr>
        <w:t>).</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כאמור, בענייננו קבע המומחה, כי </w:t>
      </w:r>
      <w:r>
        <w:rPr>
          <w:rFonts w:eastAsia="Calibri" w:hint="cs"/>
          <w:rtl/>
        </w:rPr>
        <w:t>אין עדות לכך שבמועד עריכת הצוואה המנוחה לא הייתה כשירה לעריכתה</w:t>
      </w:r>
      <w:r>
        <w:rPr>
          <w:rFonts w:ascii="Arial" w:hAnsi="Arial" w:hint="cs"/>
          <w:noProof w:val="0"/>
          <w:rtl/>
        </w:rPr>
        <w:t>. ממסמכים רפואיים ממועדים הקרובים למועד הרלוונטי עולה, כי הרופאים התרשמו מהמנוחה כ</w:t>
      </w:r>
      <w:r w:rsidRPr="007E696E">
        <w:rPr>
          <w:rFonts w:ascii="Arial" w:hAnsi="Arial" w:hint="cs"/>
          <w:b/>
          <w:bCs/>
          <w:noProof w:val="0"/>
          <w:rtl/>
        </w:rPr>
        <w:t>"צלולה לחלוטין"</w:t>
      </w:r>
      <w:r>
        <w:rPr>
          <w:rFonts w:ascii="Arial" w:hAnsi="Arial" w:hint="cs"/>
          <w:noProof w:val="0"/>
          <w:rtl/>
        </w:rPr>
        <w:t xml:space="preserve"> ובעלת </w:t>
      </w:r>
      <w:r w:rsidRPr="007E696E">
        <w:rPr>
          <w:rFonts w:ascii="Arial" w:hAnsi="Arial" w:hint="cs"/>
          <w:b/>
          <w:bCs/>
          <w:noProof w:val="0"/>
          <w:rtl/>
        </w:rPr>
        <w:t>"קוגניציה די שמורה"</w:t>
      </w:r>
      <w:r>
        <w:rPr>
          <w:rFonts w:ascii="Arial" w:hAnsi="Arial" w:hint="cs"/>
          <w:b/>
          <w:bCs/>
          <w:noProof w:val="0"/>
          <w:rtl/>
        </w:rPr>
        <w:t xml:space="preserve"> </w:t>
      </w:r>
      <w:r w:rsidRPr="007E696E">
        <w:rPr>
          <w:rFonts w:ascii="Arial" w:hAnsi="Arial" w:hint="cs"/>
          <w:noProof w:val="0"/>
          <w:rtl/>
        </w:rPr>
        <w:t>(מסמכים רפואיים מהימים 17.10.2013 ו-24.1.2014 כמפורט בסעיפים 2 ו-18 בעמ' 5 לחוות הדעת).</w:t>
      </w:r>
    </w:p>
    <w:p w:rsidR="00021B73" w:rsidRDefault="00021B73" w:rsidP="00605689">
      <w:pPr>
        <w:pStyle w:val="a9"/>
        <w:numPr>
          <w:ilvl w:val="0"/>
          <w:numId w:val="7"/>
        </w:numPr>
        <w:spacing w:after="120" w:line="360" w:lineRule="auto"/>
        <w:ind w:left="0" w:firstLine="0"/>
        <w:contextualSpacing w:val="0"/>
        <w:jc w:val="both"/>
        <w:rPr>
          <w:rFonts w:ascii="Arial" w:hAnsi="Arial"/>
          <w:noProof w:val="0"/>
        </w:rPr>
      </w:pPr>
      <w:r>
        <w:rPr>
          <w:rFonts w:ascii="Arial" w:hAnsi="Arial" w:hint="cs"/>
          <w:noProof w:val="0"/>
          <w:rtl/>
        </w:rPr>
        <w:t xml:space="preserve">המתנגדת אף העידה, כי לו הייתה מבקשת מהמנוחה שלא לאפשר למתנגדת להיכנס לגור בביתה </w:t>
      </w:r>
      <w:r>
        <w:rPr>
          <w:rFonts w:ascii="Arial" w:hAnsi="Arial"/>
          <w:noProof w:val="0"/>
          <w:rtl/>
        </w:rPr>
        <w:t>–</w:t>
      </w:r>
      <w:r>
        <w:rPr>
          <w:rFonts w:ascii="Arial" w:hAnsi="Arial" w:hint="cs"/>
          <w:noProof w:val="0"/>
          <w:rtl/>
        </w:rPr>
        <w:t xml:space="preserve"> הנוחה לא הייתה מסכימה לדבר כזה (פרוטוקול הדיון בעמ' 85, שו' 15-10):</w:t>
      </w:r>
    </w:p>
    <w:p w:rsidR="00021B73" w:rsidRDefault="00605689" w:rsidP="00021B73">
      <w:pPr>
        <w:pStyle w:val="a9"/>
        <w:spacing w:after="120" w:line="360" w:lineRule="auto"/>
        <w:ind w:left="0"/>
        <w:contextualSpacing w:val="0"/>
        <w:jc w:val="both"/>
        <w:rPr>
          <w:rFonts w:ascii="Arial" w:hAnsi="Arial"/>
          <w:noProof w:val="0"/>
          <w:rtl/>
        </w:rPr>
      </w:pPr>
      <w:r w:rsidRPr="00605689">
        <w:rPr>
          <w:rFonts w:ascii="Arial" w:hAnsi="Arial"/>
          <w:rtl/>
        </w:rPr>
        <w:drawing>
          <wp:inline distT="0" distB="0" distL="0" distR="0" wp14:anchorId="32820D5D" wp14:editId="32DE6E85">
            <wp:extent cx="5315692" cy="1686160"/>
            <wp:effectExtent l="0" t="0" r="0" b="9525"/>
            <wp:docPr id="209" name="תמונה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15692" cy="1686160"/>
                    </a:xfrm>
                    <a:prstGeom prst="rect">
                      <a:avLst/>
                    </a:prstGeom>
                  </pic:spPr>
                </pic:pic>
              </a:graphicData>
            </a:graphic>
          </wp:inline>
        </w:drawing>
      </w:r>
    </w:p>
    <w:p w:rsidR="00021B73" w:rsidRDefault="00021B73" w:rsidP="00021B73">
      <w:pPr>
        <w:pStyle w:val="a9"/>
        <w:spacing w:after="240" w:line="360" w:lineRule="auto"/>
        <w:ind w:left="0" w:firstLine="709"/>
        <w:contextualSpacing w:val="0"/>
        <w:jc w:val="both"/>
        <w:outlineLvl w:val="3"/>
        <w:rPr>
          <w:rFonts w:ascii="David" w:eastAsia="Calibri" w:hAnsi="David"/>
          <w:noProof w:val="0"/>
        </w:rPr>
      </w:pPr>
      <w:r>
        <w:rPr>
          <w:rFonts w:ascii="David" w:eastAsia="Calibri" w:hAnsi="David" w:hint="cs"/>
          <w:noProof w:val="0"/>
          <w:rtl/>
        </w:rPr>
        <w:t xml:space="preserve">הנה כי כן, מן האמור עולה, כי אף המתנגדת סברה שהמנוחה הייתה אישה שידעה לעמוד על דעתה. </w:t>
      </w:r>
    </w:p>
    <w:p w:rsidR="00021B73" w:rsidRDefault="00021B73" w:rsidP="00021B73">
      <w:pPr>
        <w:pStyle w:val="a9"/>
        <w:numPr>
          <w:ilvl w:val="0"/>
          <w:numId w:val="7"/>
        </w:numPr>
        <w:spacing w:after="12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כך גם עולה מהתנהלותה של המנוחה שבחרה שלא להגיע לחתונתו של בן המתנגדת בשנת 2015. לטענת המתנגדת המנוחה הוזמנה לחתונה, אלא שלא הסכימה להגיע לחתונה ללא המבקשת, אשר לא הוזמנה לחתונה (פרוטוקול בעמ' 96, שו' 15 </w:t>
      </w:r>
      <w:r>
        <w:rPr>
          <w:rFonts w:ascii="David" w:eastAsia="Calibri" w:hAnsi="David"/>
          <w:noProof w:val="0"/>
          <w:rtl/>
        </w:rPr>
        <w:t>–</w:t>
      </w:r>
      <w:r>
        <w:rPr>
          <w:rFonts w:ascii="David" w:eastAsia="Calibri" w:hAnsi="David" w:hint="cs"/>
          <w:noProof w:val="0"/>
          <w:rtl/>
        </w:rPr>
        <w:t xml:space="preserve"> עמ' 97, שו' 9):</w:t>
      </w:r>
    </w:p>
    <w:p w:rsidR="00021B73" w:rsidRDefault="00605689" w:rsidP="00021B73">
      <w:pPr>
        <w:pStyle w:val="a9"/>
        <w:ind w:left="0"/>
        <w:contextualSpacing w:val="0"/>
        <w:jc w:val="both"/>
        <w:outlineLvl w:val="3"/>
        <w:rPr>
          <w:rFonts w:ascii="David" w:eastAsia="Calibri" w:hAnsi="David"/>
          <w:noProof w:val="0"/>
          <w:rtl/>
        </w:rPr>
      </w:pPr>
      <w:r w:rsidRPr="00605689">
        <w:rPr>
          <w:rFonts w:ascii="David" w:eastAsia="Calibri" w:hAnsi="David"/>
          <w:rtl/>
        </w:rPr>
        <w:drawing>
          <wp:inline distT="0" distB="0" distL="0" distR="0" wp14:anchorId="0113DA94" wp14:editId="3C86C38C">
            <wp:extent cx="5296639" cy="1952898"/>
            <wp:effectExtent l="0" t="0" r="0" b="9525"/>
            <wp:docPr id="210" name="תמונה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96639" cy="1952898"/>
                    </a:xfrm>
                    <a:prstGeom prst="rect">
                      <a:avLst/>
                    </a:prstGeom>
                  </pic:spPr>
                </pic:pic>
              </a:graphicData>
            </a:graphic>
          </wp:inline>
        </w:drawing>
      </w:r>
    </w:p>
    <w:p w:rsidR="00021B73" w:rsidRDefault="00605689" w:rsidP="00021B73">
      <w:pPr>
        <w:pStyle w:val="a9"/>
        <w:spacing w:line="360" w:lineRule="auto"/>
        <w:ind w:left="0"/>
        <w:contextualSpacing w:val="0"/>
        <w:jc w:val="both"/>
        <w:outlineLvl w:val="3"/>
        <w:rPr>
          <w:rFonts w:ascii="David" w:eastAsia="Calibri" w:hAnsi="David"/>
          <w:noProof w:val="0"/>
        </w:rPr>
      </w:pPr>
      <w:r w:rsidRPr="00605689">
        <w:rPr>
          <w:rFonts w:ascii="David" w:eastAsia="Calibri" w:hAnsi="David"/>
          <w:rtl/>
        </w:rPr>
        <w:drawing>
          <wp:inline distT="0" distB="0" distL="0" distR="0" wp14:anchorId="1150EDD0" wp14:editId="11EB75AF">
            <wp:extent cx="5315692" cy="2029108"/>
            <wp:effectExtent l="0" t="0" r="0" b="9525"/>
            <wp:docPr id="211" name="תמונה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15692" cy="2029108"/>
                    </a:xfrm>
                    <a:prstGeom prst="rect">
                      <a:avLst/>
                    </a:prstGeom>
                  </pic:spPr>
                </pic:pic>
              </a:graphicData>
            </a:graphic>
          </wp:inline>
        </w:drawing>
      </w:r>
    </w:p>
    <w:p w:rsidR="00021B73" w:rsidRDefault="00021B73" w:rsidP="00021B73">
      <w:pPr>
        <w:pStyle w:val="a9"/>
        <w:numPr>
          <w:ilvl w:val="0"/>
          <w:numId w:val="7"/>
        </w:numPr>
        <w:spacing w:after="12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גם המבקשת העידה בחקירתה שהמנוחה הייתה אישה מאוד עקשנית (פרוטוקול הדיון בעמ' 99, שו' 18). לטענתה היא לא נהגה להתערב למנוחה בהחלטותיה ופעמים רבות המנוחה פעלה בניגוד לדעותיה. המנוחה הייתה אישה דעתנית והמבקשת הביאה גם דוגמאות לכך (פרוטוקול הדיון בעמ' 122, שו' 6 </w:t>
      </w:r>
      <w:r>
        <w:rPr>
          <w:rFonts w:ascii="David" w:eastAsia="Calibri" w:hAnsi="David"/>
          <w:noProof w:val="0"/>
          <w:rtl/>
        </w:rPr>
        <w:t>–</w:t>
      </w:r>
      <w:r>
        <w:rPr>
          <w:rFonts w:ascii="David" w:eastAsia="Calibri" w:hAnsi="David" w:hint="cs"/>
          <w:noProof w:val="0"/>
          <w:rtl/>
        </w:rPr>
        <w:t xml:space="preserve"> עמ' 123, שו' 4):</w:t>
      </w:r>
    </w:p>
    <w:p w:rsidR="00605689" w:rsidRPr="00C27297" w:rsidRDefault="00605689" w:rsidP="00605689">
      <w:pPr>
        <w:pStyle w:val="a9"/>
        <w:ind w:left="0" w:firstLine="142"/>
        <w:contextualSpacing w:val="0"/>
        <w:jc w:val="both"/>
        <w:outlineLvl w:val="3"/>
        <w:rPr>
          <w:rFonts w:ascii="David" w:eastAsia="Calibri" w:hAnsi="David"/>
          <w:noProof w:val="0"/>
        </w:rPr>
      </w:pPr>
      <w:r w:rsidRPr="00605689">
        <w:rPr>
          <w:rFonts w:ascii="David" w:eastAsia="Calibri" w:hAnsi="David"/>
          <w:rtl/>
        </w:rPr>
        <w:drawing>
          <wp:inline distT="0" distB="0" distL="0" distR="0" wp14:anchorId="769F67BB" wp14:editId="312E87EB">
            <wp:extent cx="5188217" cy="5071110"/>
            <wp:effectExtent l="0" t="0" r="0" b="0"/>
            <wp:docPr id="212" name="תמונה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41017" cy="5122718"/>
                    </a:xfrm>
                    <a:prstGeom prst="rect">
                      <a:avLst/>
                    </a:prstGeom>
                  </pic:spPr>
                </pic:pic>
              </a:graphicData>
            </a:graphic>
          </wp:inline>
        </w:drawing>
      </w:r>
    </w:p>
    <w:p w:rsidR="00021B73" w:rsidRDefault="00021B73" w:rsidP="00605689">
      <w:pPr>
        <w:pStyle w:val="a9"/>
        <w:spacing w:after="240"/>
        <w:ind w:left="0"/>
        <w:contextualSpacing w:val="0"/>
        <w:jc w:val="both"/>
        <w:rPr>
          <w:rFonts w:ascii="Arial" w:hAnsi="Arial"/>
          <w:noProof w:val="0"/>
        </w:rPr>
      </w:pPr>
      <w:r w:rsidRPr="002E0F57">
        <w:rPr>
          <w:rFonts w:ascii="Arial" w:hAnsi="Arial" w:hint="cs"/>
          <w:noProof w:val="0"/>
        </w:rPr>
        <w:t xml:space="preserve"> </w:t>
      </w:r>
      <w:r w:rsidR="00605689" w:rsidRPr="00605689">
        <w:rPr>
          <w:rFonts w:ascii="Arial" w:hAnsi="Arial"/>
          <w:rtl/>
        </w:rPr>
        <w:drawing>
          <wp:inline distT="0" distB="0" distL="0" distR="0" wp14:anchorId="71B18E06" wp14:editId="64E23988">
            <wp:extent cx="5232772" cy="1111221"/>
            <wp:effectExtent l="0" t="0" r="6350" b="0"/>
            <wp:docPr id="213" name="תמונה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20818" cy="1129918"/>
                    </a:xfrm>
                    <a:prstGeom prst="rect">
                      <a:avLst/>
                    </a:prstGeom>
                  </pic:spPr>
                </pic:pic>
              </a:graphicData>
            </a:graphic>
          </wp:inline>
        </w:drawing>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אומנם, שירותי הרווחה נכנסו לתמונה רק במאי 2014, כ-חצי שנה לאחר עריכת הצוואה, והעו"ס נפגשה עם המנוחה לראשונה רק ביום 1.5.2014, אך בית המשפט אפשר את גילוי המסמכים משירותי הרווחה ואף את חקירתה של העו"ס.</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העו"ס העידה כי בביקור הראשון, הסמוך ביותר בזמן למועד עריכת הצוואה, המנוחה השיבה על רוב שאלותיה לעניין. בבדיקת מיני מנטל שנערכה ביום 9.6.2014 נמצאה אומנם ירידה קוגניטיבית מסוימת </w:t>
      </w:r>
      <w:r w:rsidRPr="008D1F7D">
        <w:rPr>
          <w:rFonts w:ascii="Arial" w:hAnsi="Arial" w:hint="cs"/>
          <w:noProof w:val="0"/>
          <w:rtl/>
        </w:rPr>
        <w:t>(תוצאות הבדיקה 30/20),</w:t>
      </w:r>
      <w:r>
        <w:rPr>
          <w:rFonts w:ascii="Arial" w:hAnsi="Arial" w:hint="cs"/>
          <w:noProof w:val="0"/>
          <w:rtl/>
        </w:rPr>
        <w:t xml:space="preserve"> אך מצבה לא היה </w:t>
      </w:r>
      <w:r w:rsidRPr="00153292">
        <w:rPr>
          <w:rFonts w:ascii="Arial" w:hAnsi="Arial" w:hint="cs"/>
          <w:b/>
          <w:bCs/>
          <w:noProof w:val="0"/>
          <w:rtl/>
        </w:rPr>
        <w:t>"כזה גרוע"</w:t>
      </w:r>
      <w:r>
        <w:rPr>
          <w:rFonts w:ascii="Arial" w:hAnsi="Arial" w:hint="cs"/>
          <w:b/>
          <w:bCs/>
          <w:noProof w:val="0"/>
          <w:rtl/>
        </w:rPr>
        <w:t xml:space="preserve"> </w:t>
      </w:r>
      <w:r w:rsidRPr="008D1F7D">
        <w:rPr>
          <w:rFonts w:ascii="Arial" w:hAnsi="Arial" w:hint="cs"/>
          <w:noProof w:val="0"/>
          <w:rtl/>
        </w:rPr>
        <w:t>(פרוטוקול הדיון בעמק 29, שו' 21-4):</w:t>
      </w:r>
    </w:p>
    <w:p w:rsidR="00021B73" w:rsidRPr="00D273C6" w:rsidRDefault="00605689" w:rsidP="00021B73">
      <w:pPr>
        <w:pStyle w:val="a9"/>
        <w:spacing w:after="240" w:line="360" w:lineRule="auto"/>
        <w:ind w:left="0"/>
        <w:contextualSpacing w:val="0"/>
        <w:jc w:val="both"/>
        <w:rPr>
          <w:rFonts w:ascii="Arial" w:hAnsi="Arial"/>
          <w:noProof w:val="0"/>
        </w:rPr>
      </w:pPr>
      <w:r w:rsidRPr="00605689">
        <w:rPr>
          <w:rFonts w:ascii="Arial" w:hAnsi="Arial"/>
          <w:rtl/>
        </w:rPr>
        <w:drawing>
          <wp:inline distT="0" distB="0" distL="0" distR="0" wp14:anchorId="66EBF093" wp14:editId="3876D112">
            <wp:extent cx="5344795" cy="5365630"/>
            <wp:effectExtent l="0" t="0" r="8255" b="6985"/>
            <wp:docPr id="214" name="תמונה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64466" cy="5385378"/>
                    </a:xfrm>
                    <a:prstGeom prst="rect">
                      <a:avLst/>
                    </a:prstGeom>
                  </pic:spPr>
                </pic:pic>
              </a:graphicData>
            </a:graphic>
          </wp:inline>
        </w:drawing>
      </w:r>
    </w:p>
    <w:p w:rsidR="00021B73" w:rsidRPr="00D273C6" w:rsidRDefault="00021B73" w:rsidP="00021B73">
      <w:pPr>
        <w:pStyle w:val="a9"/>
        <w:numPr>
          <w:ilvl w:val="0"/>
          <w:numId w:val="7"/>
        </w:numPr>
        <w:spacing w:after="240" w:line="360" w:lineRule="auto"/>
        <w:ind w:left="0" w:firstLine="0"/>
        <w:contextualSpacing w:val="0"/>
        <w:jc w:val="both"/>
        <w:rPr>
          <w:rFonts w:ascii="Arial" w:hAnsi="Arial"/>
          <w:noProof w:val="0"/>
        </w:rPr>
      </w:pPr>
      <w:r w:rsidRPr="00D273C6">
        <w:rPr>
          <w:rFonts w:ascii="Arial" w:hAnsi="Arial" w:hint="cs"/>
          <w:noProof w:val="0"/>
          <w:rtl/>
        </w:rPr>
        <w:t>העו"ס גם העידה שהתרשמה מהמנוחה כאשה דעתנית</w:t>
      </w:r>
      <w:r>
        <w:rPr>
          <w:rFonts w:ascii="Arial" w:hAnsi="Arial" w:hint="cs"/>
          <w:noProof w:val="0"/>
          <w:rtl/>
        </w:rPr>
        <w:t>, אשר אינה מבצעת פעולות מתוך חשש מפני המבקשת</w:t>
      </w:r>
      <w:r w:rsidRPr="00D273C6">
        <w:rPr>
          <w:rFonts w:ascii="Arial" w:hAnsi="Arial" w:hint="cs"/>
          <w:noProof w:val="0"/>
          <w:rtl/>
        </w:rPr>
        <w:t xml:space="preserve"> (פרוטוקול הדיון בעמ' 39, שו' </w:t>
      </w:r>
      <w:r>
        <w:rPr>
          <w:rFonts w:ascii="Arial" w:hAnsi="Arial" w:hint="cs"/>
          <w:noProof w:val="0"/>
          <w:rtl/>
        </w:rPr>
        <w:t>20</w:t>
      </w:r>
      <w:r w:rsidRPr="00D273C6">
        <w:rPr>
          <w:rFonts w:ascii="Arial" w:hAnsi="Arial" w:hint="cs"/>
          <w:noProof w:val="0"/>
          <w:rtl/>
        </w:rPr>
        <w:t>-10). וכך העידה:</w:t>
      </w:r>
    </w:p>
    <w:p w:rsidR="00021B73" w:rsidRPr="00D273C6" w:rsidRDefault="00605689" w:rsidP="00021B73">
      <w:pPr>
        <w:spacing w:after="240" w:line="360" w:lineRule="auto"/>
        <w:jc w:val="both"/>
        <w:rPr>
          <w:rFonts w:ascii="Arial" w:hAnsi="Arial"/>
          <w:noProof w:val="0"/>
        </w:rPr>
      </w:pPr>
      <w:r w:rsidRPr="00605689">
        <w:rPr>
          <w:rFonts w:ascii="Arial" w:hAnsi="Arial"/>
          <w:rtl/>
        </w:rPr>
        <w:drawing>
          <wp:inline distT="0" distB="0" distL="0" distR="0" wp14:anchorId="3A26803E" wp14:editId="0EC3E96B">
            <wp:extent cx="5343236" cy="3019245"/>
            <wp:effectExtent l="0" t="0" r="0" b="0"/>
            <wp:docPr id="215" name="תמונה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366872" cy="3032601"/>
                    </a:xfrm>
                    <a:prstGeom prst="rect">
                      <a:avLst/>
                    </a:prstGeom>
                  </pic:spPr>
                </pic:pic>
              </a:graphicData>
            </a:graphic>
          </wp:inline>
        </w:drawing>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noProof w:val="0"/>
          <w:rtl/>
        </w:rPr>
        <w:t xml:space="preserve">על פי כלל הטענות והראיות שהוצגו </w:t>
      </w:r>
      <w:r>
        <w:rPr>
          <w:rFonts w:hint="cs"/>
          <w:noProof w:val="0"/>
          <w:rtl/>
        </w:rPr>
        <w:t>התרשמתי,</w:t>
      </w:r>
      <w:r>
        <w:rPr>
          <w:noProof w:val="0"/>
          <w:rtl/>
        </w:rPr>
        <w:t xml:space="preserve"> כי המנוחה הייתה אישה דעתנית, דומיננטית ואסרטיבית, שידעה גם ידעה לעמוד על דעתה ביתר שאת, גם במועד עריכת הצוואה </w:t>
      </w:r>
      <w:r>
        <w:rPr>
          <w:rFonts w:hint="cs"/>
          <w:noProof w:val="0"/>
          <w:rtl/>
        </w:rPr>
        <w:t>ובמועדים הסמוכים לעריכתה.</w:t>
      </w:r>
    </w:p>
    <w:p w:rsidR="00021B73" w:rsidRDefault="00021B73" w:rsidP="00021B73">
      <w:pPr>
        <w:pStyle w:val="a9"/>
        <w:numPr>
          <w:ilvl w:val="0"/>
          <w:numId w:val="7"/>
        </w:numPr>
        <w:spacing w:after="240" w:line="360" w:lineRule="auto"/>
        <w:ind w:left="0" w:firstLine="0"/>
        <w:contextualSpacing w:val="0"/>
        <w:jc w:val="both"/>
        <w:rPr>
          <w:noProof w:val="0"/>
          <w:rtl/>
        </w:rPr>
      </w:pPr>
      <w:r>
        <w:rPr>
          <w:rFonts w:ascii="David" w:eastAsia="Calibri" w:hAnsi="David"/>
          <w:b/>
          <w:bCs/>
          <w:noProof w:val="0"/>
          <w:rtl/>
        </w:rPr>
        <w:t xml:space="preserve">לסיכום מבחן העזר הראשון בדבר מצב עצמאותה הגופנית והשכלית </w:t>
      </w:r>
      <w:r w:rsidRPr="00D6174B">
        <w:rPr>
          <w:rFonts w:ascii="David" w:eastAsia="Calibri" w:hAnsi="David"/>
          <w:b/>
          <w:bCs/>
          <w:noProof w:val="0"/>
          <w:rtl/>
        </w:rPr>
        <w:t>של המנוחה במועד עריכת הצוואה</w:t>
      </w:r>
      <w:r>
        <w:rPr>
          <w:rFonts w:ascii="David" w:eastAsia="Calibri" w:hAnsi="David"/>
          <w:noProof w:val="0"/>
          <w:rtl/>
        </w:rPr>
        <w:t xml:space="preserve"> – בחינת הראיות, העדויות וחוות הדעת הרפואית מצביע</w:t>
      </w:r>
      <w:r>
        <w:rPr>
          <w:rFonts w:ascii="David" w:eastAsia="Calibri" w:hAnsi="David" w:hint="cs"/>
          <w:noProof w:val="0"/>
          <w:rtl/>
        </w:rPr>
        <w:t>ה</w:t>
      </w:r>
      <w:r>
        <w:rPr>
          <w:rFonts w:ascii="David" w:eastAsia="Calibri" w:hAnsi="David"/>
          <w:noProof w:val="0"/>
          <w:rtl/>
        </w:rPr>
        <w:t xml:space="preserve"> על מסקנה חד משמעית, לפיה המנוחה הבינה בטיבה של צוואה והייתה כשירה לערוך צוואתה במועד הרלוונטי, וזאת חרף עצמאותה הפיזית המוגבלת</w:t>
      </w:r>
      <w:r>
        <w:rPr>
          <w:rFonts w:ascii="David" w:eastAsia="Calibri" w:hAnsi="David" w:hint="cs"/>
          <w:noProof w:val="0"/>
          <w:rtl/>
        </w:rPr>
        <w:t xml:space="preserve"> יחסית</w:t>
      </w:r>
      <w:r>
        <w:rPr>
          <w:rFonts w:ascii="David" w:eastAsia="Calibri" w:hAnsi="David"/>
          <w:noProof w:val="0"/>
          <w:rtl/>
        </w:rPr>
        <w:t>.</w:t>
      </w:r>
    </w:p>
    <w:p w:rsidR="00021B73" w:rsidRDefault="00021B73" w:rsidP="00021B73">
      <w:pPr>
        <w:spacing w:after="120" w:line="360" w:lineRule="auto"/>
        <w:ind w:left="-57"/>
        <w:jc w:val="both"/>
        <w:rPr>
          <w:rFonts w:ascii="Arial" w:hAnsi="Arial"/>
          <w:b/>
          <w:bCs/>
          <w:noProof w:val="0"/>
          <w:sz w:val="28"/>
          <w:szCs w:val="28"/>
          <w:u w:val="single"/>
        </w:rPr>
      </w:pPr>
      <w:r>
        <w:rPr>
          <w:rFonts w:ascii="Arial" w:hAnsi="Arial"/>
          <w:b/>
          <w:bCs/>
          <w:noProof w:val="0"/>
          <w:sz w:val="28"/>
          <w:szCs w:val="28"/>
          <w:u w:val="single"/>
          <w:rtl/>
        </w:rPr>
        <w:t>מבחן העזר השני – קיומה של תלות ב</w:t>
      </w:r>
      <w:r>
        <w:rPr>
          <w:rFonts w:ascii="Arial" w:hAnsi="Arial" w:hint="cs"/>
          <w:b/>
          <w:bCs/>
          <w:noProof w:val="0"/>
          <w:sz w:val="28"/>
          <w:szCs w:val="28"/>
          <w:u w:val="single"/>
          <w:rtl/>
        </w:rPr>
        <w:t>י</w:t>
      </w:r>
      <w:r>
        <w:rPr>
          <w:rFonts w:ascii="Arial" w:hAnsi="Arial"/>
          <w:b/>
          <w:bCs/>
          <w:noProof w:val="0"/>
          <w:sz w:val="28"/>
          <w:szCs w:val="28"/>
          <w:u w:val="single"/>
          <w:rtl/>
        </w:rPr>
        <w:t>ן הזוכה לבין המצווה</w:t>
      </w:r>
    </w:p>
    <w:p w:rsidR="00021B73" w:rsidRDefault="00021B73" w:rsidP="00021B73">
      <w:pPr>
        <w:pStyle w:val="a9"/>
        <w:numPr>
          <w:ilvl w:val="0"/>
          <w:numId w:val="7"/>
        </w:numPr>
        <w:spacing w:after="240" w:line="360" w:lineRule="auto"/>
        <w:ind w:left="0" w:firstLine="0"/>
        <w:contextualSpacing w:val="0"/>
        <w:jc w:val="both"/>
        <w:rPr>
          <w:rFonts w:ascii="Arial" w:hAnsi="Arial"/>
          <w:b/>
          <w:bCs/>
          <w:noProof w:val="0"/>
          <w:sz w:val="28"/>
          <w:szCs w:val="28"/>
          <w:u w:val="single"/>
        </w:rPr>
      </w:pPr>
      <w:r>
        <w:rPr>
          <w:rFonts w:ascii="David" w:hAnsi="David"/>
          <w:noProof w:val="0"/>
          <w:rtl/>
        </w:rPr>
        <w:t>במסגרת מבחן העזר השני, במצב</w:t>
      </w:r>
      <w:r>
        <w:rPr>
          <w:rFonts w:ascii="David" w:hAnsi="David"/>
        </w:rPr>
        <w:t xml:space="preserve"> </w:t>
      </w:r>
      <w:r>
        <w:rPr>
          <w:rFonts w:ascii="David" w:hAnsi="David"/>
          <w:noProof w:val="0"/>
          <w:rtl/>
        </w:rPr>
        <w:t>שבו</w:t>
      </w:r>
      <w:r>
        <w:rPr>
          <w:rFonts w:ascii="David" w:hAnsi="David"/>
        </w:rPr>
        <w:t xml:space="preserve"> </w:t>
      </w:r>
      <w:r>
        <w:rPr>
          <w:rFonts w:ascii="David" w:hAnsi="David"/>
          <w:noProof w:val="0"/>
          <w:rtl/>
        </w:rPr>
        <w:t>המצווה</w:t>
      </w:r>
      <w:r>
        <w:rPr>
          <w:rFonts w:ascii="David" w:hAnsi="David"/>
        </w:rPr>
        <w:t xml:space="preserve"> </w:t>
      </w:r>
      <w:r>
        <w:rPr>
          <w:rFonts w:ascii="David" w:hAnsi="David"/>
          <w:noProof w:val="0"/>
          <w:rtl/>
        </w:rPr>
        <w:t>לא</w:t>
      </w:r>
      <w:r>
        <w:rPr>
          <w:rFonts w:ascii="David" w:hAnsi="David"/>
        </w:rPr>
        <w:t xml:space="preserve"> </w:t>
      </w:r>
      <w:r>
        <w:rPr>
          <w:rFonts w:ascii="David" w:hAnsi="David"/>
          <w:noProof w:val="0"/>
          <w:rtl/>
        </w:rPr>
        <w:t>היה</w:t>
      </w:r>
      <w:r>
        <w:rPr>
          <w:rFonts w:ascii="David" w:hAnsi="David"/>
        </w:rPr>
        <w:t xml:space="preserve"> </w:t>
      </w:r>
      <w:r>
        <w:rPr>
          <w:rFonts w:ascii="David" w:hAnsi="David"/>
          <w:noProof w:val="0"/>
          <w:rtl/>
        </w:rPr>
        <w:t>עצמאי</w:t>
      </w:r>
      <w:r>
        <w:rPr>
          <w:rFonts w:ascii="David" w:hAnsi="David"/>
        </w:rPr>
        <w:t xml:space="preserve"> </w:t>
      </w:r>
      <w:r>
        <w:rPr>
          <w:rFonts w:ascii="David" w:hAnsi="David"/>
          <w:noProof w:val="0"/>
          <w:rtl/>
        </w:rPr>
        <w:t>ונזקק</w:t>
      </w:r>
      <w:r>
        <w:rPr>
          <w:rFonts w:ascii="David" w:hAnsi="David"/>
        </w:rPr>
        <w:t xml:space="preserve"> </w:t>
      </w:r>
      <w:r>
        <w:rPr>
          <w:rFonts w:ascii="David" w:hAnsi="David"/>
          <w:noProof w:val="0"/>
          <w:rtl/>
        </w:rPr>
        <w:t>לסיוע</w:t>
      </w:r>
      <w:r>
        <w:rPr>
          <w:rFonts w:ascii="David" w:hAnsi="David"/>
        </w:rPr>
        <w:t xml:space="preserve"> </w:t>
      </w:r>
      <w:r>
        <w:rPr>
          <w:rFonts w:ascii="David" w:hAnsi="David"/>
          <w:noProof w:val="0"/>
          <w:rtl/>
        </w:rPr>
        <w:t>הזולת</w:t>
      </w:r>
      <w:r>
        <w:rPr>
          <w:rFonts w:ascii="David" w:hAnsi="David"/>
        </w:rPr>
        <w:t xml:space="preserve"> ,</w:t>
      </w:r>
      <w:r>
        <w:rPr>
          <w:rFonts w:ascii="David" w:hAnsi="David"/>
          <w:noProof w:val="0"/>
          <w:rtl/>
        </w:rPr>
        <w:t>יש</w:t>
      </w:r>
      <w:r>
        <w:rPr>
          <w:rFonts w:ascii="David" w:hAnsi="David"/>
        </w:rPr>
        <w:t xml:space="preserve"> </w:t>
      </w:r>
      <w:r>
        <w:rPr>
          <w:rFonts w:ascii="David" w:hAnsi="David"/>
          <w:noProof w:val="0"/>
          <w:rtl/>
        </w:rPr>
        <w:t>לבחון</w:t>
      </w:r>
      <w:r>
        <w:rPr>
          <w:rFonts w:ascii="David" w:hAnsi="David"/>
        </w:rPr>
        <w:t xml:space="preserve"> </w:t>
      </w:r>
      <w:r>
        <w:rPr>
          <w:rFonts w:ascii="David" w:hAnsi="David"/>
          <w:noProof w:val="0"/>
          <w:rtl/>
        </w:rPr>
        <w:t>את</w:t>
      </w:r>
      <w:r>
        <w:rPr>
          <w:rFonts w:ascii="David" w:hAnsi="David"/>
        </w:rPr>
        <w:t xml:space="preserve"> </w:t>
      </w:r>
      <w:r>
        <w:rPr>
          <w:rFonts w:ascii="David" w:hAnsi="David"/>
          <w:noProof w:val="0"/>
          <w:rtl/>
        </w:rPr>
        <w:t>טיב</w:t>
      </w:r>
      <w:r>
        <w:rPr>
          <w:rFonts w:ascii="David" w:hAnsi="David"/>
        </w:rPr>
        <w:t xml:space="preserve"> </w:t>
      </w:r>
      <w:r>
        <w:rPr>
          <w:rFonts w:ascii="David" w:hAnsi="David"/>
          <w:noProof w:val="0"/>
          <w:rtl/>
        </w:rPr>
        <w:t>הסיוע, היקפו</w:t>
      </w:r>
      <w:r>
        <w:rPr>
          <w:rFonts w:ascii="David" w:hAnsi="David"/>
        </w:rPr>
        <w:t xml:space="preserve"> </w:t>
      </w:r>
      <w:r>
        <w:rPr>
          <w:rFonts w:ascii="David" w:hAnsi="David"/>
          <w:noProof w:val="0"/>
          <w:rtl/>
        </w:rPr>
        <w:t>ומידת</w:t>
      </w:r>
      <w:r>
        <w:rPr>
          <w:rFonts w:ascii="David" w:hAnsi="David"/>
        </w:rPr>
        <w:t xml:space="preserve"> </w:t>
      </w:r>
      <w:r>
        <w:rPr>
          <w:rFonts w:ascii="David" w:hAnsi="David"/>
          <w:noProof w:val="0"/>
          <w:rtl/>
        </w:rPr>
        <w:t>התלות</w:t>
      </w:r>
      <w:r>
        <w:rPr>
          <w:rFonts w:ascii="David" w:hAnsi="David"/>
        </w:rPr>
        <w:t xml:space="preserve"> </w:t>
      </w:r>
      <w:r>
        <w:rPr>
          <w:rFonts w:ascii="David" w:hAnsi="David"/>
          <w:noProof w:val="0"/>
          <w:rtl/>
        </w:rPr>
        <w:t>במי</w:t>
      </w:r>
      <w:r>
        <w:rPr>
          <w:rFonts w:ascii="David" w:hAnsi="David"/>
        </w:rPr>
        <w:t xml:space="preserve"> </w:t>
      </w:r>
      <w:r>
        <w:rPr>
          <w:rFonts w:ascii="David" w:hAnsi="David"/>
          <w:noProof w:val="0"/>
          <w:rtl/>
        </w:rPr>
        <w:t>שהעניק</w:t>
      </w:r>
      <w:r>
        <w:rPr>
          <w:rFonts w:ascii="David" w:hAnsi="David"/>
        </w:rPr>
        <w:t xml:space="preserve"> </w:t>
      </w:r>
      <w:r>
        <w:rPr>
          <w:rFonts w:ascii="David" w:hAnsi="David"/>
          <w:noProof w:val="0"/>
          <w:rtl/>
        </w:rPr>
        <w:t>לו</w:t>
      </w:r>
      <w:r>
        <w:rPr>
          <w:rFonts w:ascii="David" w:hAnsi="David"/>
        </w:rPr>
        <w:t xml:space="preserve"> </w:t>
      </w:r>
      <w:r>
        <w:rPr>
          <w:rFonts w:ascii="David" w:hAnsi="David"/>
          <w:noProof w:val="0"/>
          <w:rtl/>
        </w:rPr>
        <w:t xml:space="preserve">אותו. </w:t>
      </w:r>
      <w:r>
        <w:rPr>
          <w:rFonts w:ascii="David" w:eastAsia="Calibri" w:hAnsi="David"/>
          <w:b/>
          <w:bCs/>
          <w:noProof w:val="0"/>
          <w:rtl/>
        </w:rPr>
        <w:t>מה הייתה מהותה של מערכת היחסים בין המבקש</w:t>
      </w:r>
      <w:r>
        <w:rPr>
          <w:rFonts w:ascii="David" w:eastAsia="Calibri" w:hAnsi="David" w:hint="cs"/>
          <w:b/>
          <w:bCs/>
          <w:noProof w:val="0"/>
          <w:rtl/>
        </w:rPr>
        <w:t>ת</w:t>
      </w:r>
      <w:r>
        <w:rPr>
          <w:rFonts w:ascii="David" w:eastAsia="Calibri" w:hAnsi="David"/>
          <w:b/>
          <w:bCs/>
          <w:noProof w:val="0"/>
          <w:rtl/>
        </w:rPr>
        <w:t xml:space="preserve"> לבין המנוחה?</w:t>
      </w:r>
      <w:r>
        <w:rPr>
          <w:rFonts w:ascii="David" w:eastAsia="Calibri" w:hAnsi="David"/>
          <w:noProof w:val="0"/>
          <w:rtl/>
        </w:rPr>
        <w:t xml:space="preserve"> </w:t>
      </w:r>
      <w:r>
        <w:rPr>
          <w:rFonts w:ascii="David" w:eastAsia="Calibri" w:hAnsi="David"/>
          <w:b/>
          <w:bCs/>
          <w:noProof w:val="0"/>
          <w:rtl/>
        </w:rPr>
        <w:t>האם הקשר הוביל לכדי פיתוחה של תלות מוחלטת במבקש</w:t>
      </w:r>
      <w:r>
        <w:rPr>
          <w:rFonts w:ascii="David" w:eastAsia="Calibri" w:hAnsi="David" w:hint="cs"/>
          <w:b/>
          <w:bCs/>
          <w:noProof w:val="0"/>
          <w:rtl/>
        </w:rPr>
        <w:t>ת</w:t>
      </w:r>
      <w:r>
        <w:rPr>
          <w:rFonts w:ascii="David" w:eastAsia="Calibri" w:hAnsi="David"/>
          <w:b/>
          <w:bCs/>
          <w:noProof w:val="0"/>
          <w:rtl/>
        </w:rPr>
        <w:t>, ולאיבוד יכולתה של המנוחה להמשיך ולבטא את רצונה באופן עצמאי וחופשי?</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כאמור, אין חולק שבמועד עריכת הצוואה המנוחה התגוררה בדירתה בגפה.</w:t>
      </w:r>
    </w:p>
    <w:p w:rsidR="00021B73" w:rsidRPr="000C16A5" w:rsidRDefault="00021B73" w:rsidP="00021B73">
      <w:pPr>
        <w:pStyle w:val="a9"/>
        <w:numPr>
          <w:ilvl w:val="0"/>
          <w:numId w:val="7"/>
        </w:numPr>
        <w:spacing w:after="240" w:line="360" w:lineRule="auto"/>
        <w:ind w:left="0" w:firstLine="0"/>
        <w:contextualSpacing w:val="0"/>
        <w:jc w:val="both"/>
        <w:rPr>
          <w:rFonts w:ascii="Arial" w:hAnsi="Arial"/>
          <w:noProof w:val="0"/>
        </w:rPr>
      </w:pPr>
      <w:r w:rsidRPr="000C16A5">
        <w:rPr>
          <w:rFonts w:ascii="Arial" w:hAnsi="Arial" w:hint="cs"/>
          <w:noProof w:val="0"/>
          <w:rtl/>
        </w:rPr>
        <w:t xml:space="preserve">המבקשת אומנם הגיעה לבית המנוחה בתדירות גבוהה יותר מזו של המתנגדת, והיא אף נהגה ללון בביתה מספר פעמים בשבוע בסמוך למועד הרלוונטי. עם זאת, המנוחה הייתה בקשר שוטף גם עם המתנגדת אשר נהגה לבקר את המנוחה בביתה והמנוחה הסתייעה גם בה. כך למשל, באפריל 2014 הייתה זו המתנגדת שסייעה למנוחה כאשר היא נפלה בביתה. המתנגדת העידה כי היא נהגה להתקשר אל המנוחה בכל יום, ובאחת הפעמים יידעה אותה המנוחה כי נפלה בבית. המתנגדת הזמינה מכבי אש ואמבולנס שסייעו למנוחה עד הגיעה למקום (סעיפים 21-20 לתצהיר עדותה הראשית של המתנגדת; פרוטוקול הדיון בעמ' 70, שו' 8 </w:t>
      </w:r>
      <w:r w:rsidRPr="000C16A5">
        <w:rPr>
          <w:rFonts w:ascii="Arial" w:hAnsi="Arial"/>
          <w:noProof w:val="0"/>
          <w:rtl/>
        </w:rPr>
        <w:t>–</w:t>
      </w:r>
      <w:r w:rsidRPr="000C16A5">
        <w:rPr>
          <w:rFonts w:ascii="Arial" w:hAnsi="Arial" w:hint="cs"/>
          <w:noProof w:val="0"/>
          <w:rtl/>
        </w:rPr>
        <w:t xml:space="preserve"> עמ' 71, שו' 21).</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המבקשת העידה, כי רק לאחר הנפילה של המנוחה החלה לישון בביתה ברוב ימות השבוע. המבקשת עברה להתגורר פורמאלית בבית המנוחה בדצמבר 2014 (פרוטוקול הדיון בעמ' 146, שו' 14 </w:t>
      </w:r>
      <w:r>
        <w:rPr>
          <w:rFonts w:ascii="Arial" w:hAnsi="Arial"/>
          <w:noProof w:val="0"/>
          <w:rtl/>
        </w:rPr>
        <w:t>–</w:t>
      </w:r>
      <w:r>
        <w:rPr>
          <w:rFonts w:ascii="Arial" w:hAnsi="Arial" w:hint="cs"/>
          <w:noProof w:val="0"/>
          <w:rtl/>
        </w:rPr>
        <w:t xml:space="preserve"> עמ' 149, שו' 2).</w:t>
      </w:r>
      <w:r w:rsidRPr="002C1A3F">
        <w:rPr>
          <w:rFonts w:ascii="Arial" w:hAnsi="Arial" w:hint="cs"/>
          <w:noProof w:val="0"/>
          <w:rtl/>
        </w:rPr>
        <w:t xml:space="preserve"> </w:t>
      </w:r>
      <w:r>
        <w:rPr>
          <w:rFonts w:ascii="Arial" w:hAnsi="Arial" w:hint="cs"/>
          <w:noProof w:val="0"/>
          <w:rtl/>
        </w:rPr>
        <w:t xml:space="preserve">לטענת המתנגדת המבקשת עברה להתגורר עם המנוחה רק בשנת 2016 (פרוטוקול הדיון בעמ' 57, שו' 11 </w:t>
      </w:r>
      <w:r>
        <w:rPr>
          <w:rFonts w:ascii="Arial" w:hAnsi="Arial"/>
          <w:noProof w:val="0"/>
          <w:rtl/>
        </w:rPr>
        <w:t>–</w:t>
      </w:r>
      <w:r>
        <w:rPr>
          <w:rFonts w:ascii="Arial" w:hAnsi="Arial" w:hint="cs"/>
          <w:noProof w:val="0"/>
          <w:rtl/>
        </w:rPr>
        <w:t xml:space="preserve"> עמ' 58, שו' 13).</w:t>
      </w:r>
    </w:p>
    <w:p w:rsidR="00021B73" w:rsidRPr="00126CB5"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noProof w:val="0"/>
        </w:rPr>
      </w:pPr>
      <w:r w:rsidRPr="0055624F">
        <w:rPr>
          <w:rFonts w:ascii="David" w:eastAsia="Calibri" w:hAnsi="David" w:hint="cs"/>
          <w:noProof w:val="0"/>
          <w:rtl/>
        </w:rPr>
        <w:t xml:space="preserve">העו"ס העידה כי היחסים שבין המנוחה לבין המבקשת היו מורכבים, מכיוון שהיו תקופות בהן היו מתווכחות </w:t>
      </w:r>
      <w:r>
        <w:rPr>
          <w:rFonts w:ascii="David" w:eastAsia="Calibri" w:hAnsi="David" w:hint="cs"/>
          <w:noProof w:val="0"/>
          <w:rtl/>
        </w:rPr>
        <w:t xml:space="preserve">האחת </w:t>
      </w:r>
      <w:r w:rsidRPr="0055624F">
        <w:rPr>
          <w:rFonts w:ascii="David" w:eastAsia="Calibri" w:hAnsi="David" w:hint="cs"/>
          <w:noProof w:val="0"/>
          <w:rtl/>
        </w:rPr>
        <w:t xml:space="preserve">עם השנייה. היו תקופות טובות יותר והיו פחות טובות. עם זאת, </w:t>
      </w:r>
      <w:r>
        <w:rPr>
          <w:rFonts w:ascii="David" w:eastAsia="Calibri" w:hAnsi="David" w:hint="cs"/>
          <w:noProof w:val="0"/>
          <w:rtl/>
        </w:rPr>
        <w:t xml:space="preserve">הדגישה העו"ס, כי המנוחה סבלה כבר מירידה קוגניטיבית וגם מחרדות, דבר שהקשה על העומס הטיפולי ובוודאי על מורכבות הקשר. </w:t>
      </w:r>
      <w:r w:rsidRPr="0055624F">
        <w:rPr>
          <w:rFonts w:ascii="David" w:eastAsia="Calibri" w:hAnsi="David" w:hint="cs"/>
          <w:noProof w:val="0"/>
          <w:rtl/>
        </w:rPr>
        <w:t>להתרשמותה של העו"ס מגוריה של המבקשת בבית המנוחה לא נכפו עליה והיא סבורה שהיה למנוחה טוב עם מצב דברים זה (פרוטוקול בעמ' 30, שו' 15-</w:t>
      </w:r>
      <w:r>
        <w:rPr>
          <w:rFonts w:ascii="David" w:eastAsia="Calibri" w:hAnsi="David" w:hint="cs"/>
          <w:noProof w:val="0"/>
          <w:rtl/>
        </w:rPr>
        <w:t>1</w:t>
      </w:r>
      <w:r w:rsidRPr="0055624F">
        <w:rPr>
          <w:rFonts w:ascii="David" w:eastAsia="Calibri" w:hAnsi="David" w:hint="cs"/>
          <w:noProof w:val="0"/>
          <w:rtl/>
        </w:rPr>
        <w:t>).</w:t>
      </w:r>
    </w:p>
    <w:p w:rsidR="00021B73" w:rsidRDefault="00021B73" w:rsidP="00021B73">
      <w:pPr>
        <w:pStyle w:val="a9"/>
        <w:numPr>
          <w:ilvl w:val="0"/>
          <w:numId w:val="7"/>
        </w:numPr>
        <w:spacing w:after="120" w:line="360" w:lineRule="auto"/>
        <w:ind w:left="0" w:firstLine="0"/>
        <w:contextualSpacing w:val="0"/>
        <w:jc w:val="both"/>
        <w:rPr>
          <w:rFonts w:ascii="Arial" w:hAnsi="Arial"/>
          <w:noProof w:val="0"/>
        </w:rPr>
      </w:pPr>
      <w:r>
        <w:rPr>
          <w:rFonts w:ascii="Arial" w:hAnsi="Arial" w:hint="cs"/>
          <w:noProof w:val="0"/>
          <w:rtl/>
        </w:rPr>
        <w:t xml:space="preserve">המתנגדת הצהירה כי היא זו שלקחה את המנוחה לרופאים עד בסמוך למועד עריכת הצוואה. כשהתייחסה בחקירתה לתלונותיה של המבקשת ממאי 2014, כי עיקר הטיפול במנוחה היה מוטל על כתפיה </w:t>
      </w:r>
      <w:r>
        <w:rPr>
          <w:rFonts w:ascii="Arial" w:hAnsi="Arial"/>
          <w:noProof w:val="0"/>
          <w:rtl/>
        </w:rPr>
        <w:t>–</w:t>
      </w:r>
      <w:r>
        <w:rPr>
          <w:rFonts w:ascii="Arial" w:hAnsi="Arial" w:hint="cs"/>
          <w:noProof w:val="0"/>
          <w:rtl/>
        </w:rPr>
        <w:t xml:space="preserve"> נימקה המתנגדת התנהלות זו כך (פרוטוקול הדיון בעמ' 84, שו' 7-1):</w:t>
      </w:r>
    </w:p>
    <w:p w:rsidR="00021B73" w:rsidRDefault="00021B73" w:rsidP="00021B73">
      <w:pPr>
        <w:pStyle w:val="a9"/>
        <w:spacing w:after="120" w:line="360" w:lineRule="auto"/>
        <w:ind w:left="0"/>
        <w:contextualSpacing w:val="0"/>
        <w:jc w:val="both"/>
        <w:rPr>
          <w:rFonts w:ascii="Arial" w:hAnsi="Arial"/>
          <w:noProof w:val="0"/>
        </w:rPr>
      </w:pPr>
      <w:r w:rsidRPr="000819DE">
        <w:rPr>
          <w:rFonts w:ascii="Arial" w:hAnsi="Arial"/>
          <w:rtl/>
        </w:rPr>
        <w:drawing>
          <wp:inline distT="0" distB="0" distL="0" distR="0" wp14:anchorId="2D894FD4" wp14:editId="07C846B2">
            <wp:extent cx="5284645" cy="1811547"/>
            <wp:effectExtent l="0" t="0" r="0" b="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300464" cy="1816970"/>
                    </a:xfrm>
                    <a:prstGeom prst="rect">
                      <a:avLst/>
                    </a:prstGeom>
                    <a:noFill/>
                    <a:ln>
                      <a:noFill/>
                    </a:ln>
                  </pic:spPr>
                </pic:pic>
              </a:graphicData>
            </a:graphic>
          </wp:inline>
        </w:drawing>
      </w:r>
    </w:p>
    <w:p w:rsidR="00021B73" w:rsidRDefault="00021B73" w:rsidP="00021B73">
      <w:pPr>
        <w:pStyle w:val="a9"/>
        <w:spacing w:after="240" w:line="360" w:lineRule="auto"/>
        <w:ind w:left="0" w:firstLine="708"/>
        <w:contextualSpacing w:val="0"/>
        <w:jc w:val="both"/>
        <w:rPr>
          <w:rFonts w:ascii="Arial" w:hAnsi="Arial"/>
          <w:noProof w:val="0"/>
        </w:rPr>
      </w:pPr>
      <w:r>
        <w:rPr>
          <w:rFonts w:ascii="Arial" w:hAnsi="Arial" w:hint="cs"/>
          <w:noProof w:val="0"/>
          <w:rtl/>
        </w:rPr>
        <w:t>(ראו גם סעיף 31 לתצהיר עדותה הראשית של המתנגדת).</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הנה כי כן, לא הוכח שהמנוחה פיתחה תלות מוחלטת במבקשת והיא נהגה להסתייע גם במתנגדת. </w:t>
      </w:r>
    </w:p>
    <w:p w:rsidR="00021B73" w:rsidRDefault="00021B73" w:rsidP="00021B73">
      <w:pPr>
        <w:pStyle w:val="a9"/>
        <w:numPr>
          <w:ilvl w:val="0"/>
          <w:numId w:val="7"/>
        </w:numPr>
        <w:spacing w:after="240" w:line="360" w:lineRule="auto"/>
        <w:ind w:left="0" w:firstLine="0"/>
        <w:jc w:val="both"/>
        <w:rPr>
          <w:noProof w:val="0"/>
        </w:rPr>
      </w:pPr>
      <w:r>
        <w:rPr>
          <w:rFonts w:ascii="David" w:eastAsia="Calibri" w:hAnsi="David"/>
          <w:b/>
          <w:bCs/>
          <w:noProof w:val="0"/>
          <w:rtl/>
        </w:rPr>
        <w:t>לסיכום מבחן העזר השני בדבר התלות שבין המנוחה לבין המבקש</w:t>
      </w:r>
      <w:r>
        <w:rPr>
          <w:rFonts w:ascii="David" w:eastAsia="Calibri" w:hAnsi="David" w:hint="cs"/>
          <w:b/>
          <w:bCs/>
          <w:noProof w:val="0"/>
          <w:rtl/>
        </w:rPr>
        <w:t>ת</w:t>
      </w:r>
      <w:r>
        <w:rPr>
          <w:rFonts w:ascii="David" w:eastAsia="Calibri" w:hAnsi="David"/>
          <w:b/>
          <w:bCs/>
          <w:noProof w:val="0"/>
          <w:rtl/>
        </w:rPr>
        <w:t xml:space="preserve">, </w:t>
      </w:r>
      <w:r>
        <w:rPr>
          <w:rFonts w:ascii="David" w:eastAsia="Calibri" w:hAnsi="David"/>
          <w:noProof w:val="0"/>
          <w:rtl/>
        </w:rPr>
        <w:t>נראה כי אכן הייתה קיימת תלות מסוימת של המנוחה במבקש</w:t>
      </w:r>
      <w:r>
        <w:rPr>
          <w:rFonts w:ascii="David" w:eastAsia="Calibri" w:hAnsi="David" w:hint="cs"/>
          <w:noProof w:val="0"/>
          <w:rtl/>
        </w:rPr>
        <w:t>ת</w:t>
      </w:r>
      <w:r>
        <w:rPr>
          <w:rFonts w:ascii="David" w:eastAsia="Calibri" w:hAnsi="David"/>
          <w:noProof w:val="0"/>
          <w:rtl/>
        </w:rPr>
        <w:t xml:space="preserve">, אך לא מצאתי כי המדובר בתלות מוחלטת ובוודאי לא כזו שפגעה ביכולתה של המנוחה לבחור ולממש את רצונה ולהשפיע עליה בעריכת הצוואה. </w:t>
      </w:r>
    </w:p>
    <w:p w:rsidR="00021B73" w:rsidRDefault="00021B73" w:rsidP="00021B73">
      <w:pPr>
        <w:ind w:left="-58"/>
        <w:contextualSpacing/>
        <w:rPr>
          <w:b/>
          <w:bCs/>
          <w:noProof w:val="0"/>
          <w:sz w:val="28"/>
          <w:szCs w:val="28"/>
          <w:rtl/>
        </w:rPr>
      </w:pPr>
      <w:r>
        <w:rPr>
          <w:rFonts w:ascii="Arial" w:hAnsi="Arial"/>
          <w:b/>
          <w:bCs/>
          <w:noProof w:val="0"/>
          <w:sz w:val="28"/>
          <w:szCs w:val="28"/>
          <w:u w:val="single"/>
          <w:rtl/>
        </w:rPr>
        <w:t>מבחן העזר השלישי – קשרי המנוחה עם אחרים זולת המבקש</w:t>
      </w:r>
    </w:p>
    <w:p w:rsidR="00021B73"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noProof w:val="0"/>
          <w:rtl/>
        </w:rPr>
        <w:t>במסגרת מבחן העזר השלישי, על בית המשפט לבחון את מידת התלות אותה פיתחה המנוחה במבקש</w:t>
      </w:r>
      <w:r>
        <w:rPr>
          <w:rFonts w:ascii="David" w:eastAsia="Calibri" w:hAnsi="David" w:hint="cs"/>
          <w:noProof w:val="0"/>
          <w:rtl/>
        </w:rPr>
        <w:t>ת</w:t>
      </w:r>
      <w:r>
        <w:rPr>
          <w:rFonts w:ascii="David" w:eastAsia="Calibri" w:hAnsi="David"/>
          <w:noProof w:val="0"/>
          <w:rtl/>
        </w:rPr>
        <w:t>. ככל שיתברר, כי במועד עריכת הצוואה הייתה המנוחה מנותקת לחלוטין או כי קשריה עם אחרים היו מוגבלים ומועטים, אזי תתחזק ההנחה בדבר תלותה של המנוחה המבקש (</w:t>
      </w:r>
      <w:r>
        <w:rPr>
          <w:rFonts w:ascii="David" w:eastAsia="Calibri" w:hAnsi="David"/>
          <w:noProof w:val="0"/>
          <w:color w:val="000000" w:themeColor="text1"/>
          <w:rtl/>
        </w:rPr>
        <w:t xml:space="preserve">ת"ע (ת"א) 47214-07-12 </w:t>
      </w:r>
      <w:r>
        <w:rPr>
          <w:rFonts w:ascii="David" w:eastAsia="Calibri" w:hAnsi="David"/>
          <w:b/>
          <w:bCs/>
          <w:noProof w:val="0"/>
          <w:rtl/>
        </w:rPr>
        <w:t>א' ל' נ' ש' א'</w:t>
      </w:r>
      <w:r>
        <w:rPr>
          <w:rFonts w:ascii="David" w:eastAsia="Calibri" w:hAnsi="David"/>
          <w:noProof w:val="0"/>
          <w:rtl/>
        </w:rPr>
        <w:t xml:space="preserve">, עמ' 26 (17.1.2016)). </w:t>
      </w:r>
      <w:r>
        <w:rPr>
          <w:rFonts w:ascii="David" w:hAnsi="David"/>
          <w:noProof w:val="0"/>
          <w:rtl/>
        </w:rPr>
        <w:t>בידוד</w:t>
      </w:r>
      <w:r>
        <w:rPr>
          <w:rFonts w:ascii="David" w:hAnsi="David" w:hint="cs"/>
          <w:noProof w:val="0"/>
          <w:rtl/>
        </w:rPr>
        <w:t>ה</w:t>
      </w:r>
      <w:r>
        <w:rPr>
          <w:rFonts w:ascii="David" w:hAnsi="David"/>
        </w:rPr>
        <w:t xml:space="preserve"> </w:t>
      </w:r>
      <w:r>
        <w:rPr>
          <w:rFonts w:ascii="David" w:hAnsi="David"/>
          <w:noProof w:val="0"/>
          <w:rtl/>
        </w:rPr>
        <w:t>של</w:t>
      </w:r>
      <w:r>
        <w:rPr>
          <w:rFonts w:ascii="David" w:hAnsi="David"/>
        </w:rPr>
        <w:t xml:space="preserve"> </w:t>
      </w:r>
      <w:r>
        <w:rPr>
          <w:rFonts w:ascii="David" w:hAnsi="David"/>
          <w:noProof w:val="0"/>
          <w:rtl/>
        </w:rPr>
        <w:t>המצווה</w:t>
      </w:r>
      <w:r>
        <w:rPr>
          <w:rFonts w:ascii="David" w:hAnsi="David"/>
        </w:rPr>
        <w:t xml:space="preserve"> </w:t>
      </w:r>
      <w:r>
        <w:rPr>
          <w:rFonts w:ascii="David" w:hAnsi="David"/>
          <w:noProof w:val="0"/>
          <w:rtl/>
        </w:rPr>
        <w:t>וניתו</w:t>
      </w:r>
      <w:r>
        <w:rPr>
          <w:rFonts w:ascii="David" w:hAnsi="David" w:hint="cs"/>
          <w:noProof w:val="0"/>
          <w:rtl/>
        </w:rPr>
        <w:t>קה</w:t>
      </w:r>
      <w:r>
        <w:rPr>
          <w:rFonts w:ascii="David" w:hAnsi="David"/>
        </w:rPr>
        <w:t xml:space="preserve"> </w:t>
      </w:r>
      <w:r>
        <w:rPr>
          <w:rFonts w:ascii="David" w:hAnsi="David"/>
          <w:noProof w:val="0"/>
          <w:rtl/>
        </w:rPr>
        <w:t>מאחרים</w:t>
      </w:r>
      <w:r>
        <w:rPr>
          <w:rFonts w:ascii="David" w:hAnsi="David"/>
        </w:rPr>
        <w:t xml:space="preserve"> </w:t>
      </w:r>
      <w:r>
        <w:rPr>
          <w:rFonts w:ascii="David" w:hAnsi="David"/>
          <w:noProof w:val="0"/>
          <w:rtl/>
        </w:rPr>
        <w:t>מגבירים</w:t>
      </w:r>
      <w:r>
        <w:rPr>
          <w:rFonts w:ascii="David" w:hAnsi="David"/>
        </w:rPr>
        <w:t xml:space="preserve"> </w:t>
      </w:r>
      <w:r>
        <w:rPr>
          <w:rFonts w:ascii="David" w:hAnsi="David"/>
          <w:noProof w:val="0"/>
          <w:rtl/>
        </w:rPr>
        <w:t>את</w:t>
      </w:r>
      <w:r>
        <w:rPr>
          <w:rFonts w:ascii="David" w:hAnsi="David"/>
        </w:rPr>
        <w:t xml:space="preserve"> </w:t>
      </w:r>
      <w:r>
        <w:rPr>
          <w:rFonts w:ascii="David" w:hAnsi="David"/>
          <w:noProof w:val="0"/>
          <w:rtl/>
        </w:rPr>
        <w:t>התלות שלו</w:t>
      </w:r>
      <w:r>
        <w:rPr>
          <w:rFonts w:ascii="David" w:hAnsi="David"/>
        </w:rPr>
        <w:t xml:space="preserve"> </w:t>
      </w:r>
      <w:r>
        <w:rPr>
          <w:rFonts w:ascii="David" w:hAnsi="David" w:hint="cs"/>
          <w:noProof w:val="0"/>
          <w:rtl/>
        </w:rPr>
        <w:t>בזוכה.</w:t>
      </w:r>
    </w:p>
    <w:p w:rsidR="00021B73" w:rsidRPr="000C16A5"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noProof w:val="0"/>
        </w:rPr>
      </w:pPr>
      <w:r w:rsidRPr="000C16A5">
        <w:rPr>
          <w:rFonts w:ascii="David" w:eastAsia="Calibri" w:hAnsi="David"/>
          <w:noProof w:val="0"/>
          <w:rtl/>
        </w:rPr>
        <w:t>נוסף על כך, לא התרשמתי כי המבקש</w:t>
      </w:r>
      <w:r w:rsidRPr="000C16A5">
        <w:rPr>
          <w:rFonts w:ascii="David" w:eastAsia="Calibri" w:hAnsi="David" w:hint="cs"/>
          <w:noProof w:val="0"/>
          <w:rtl/>
        </w:rPr>
        <w:t>ת</w:t>
      </w:r>
      <w:r w:rsidRPr="000C16A5">
        <w:rPr>
          <w:rFonts w:ascii="David" w:eastAsia="Calibri" w:hAnsi="David"/>
          <w:noProof w:val="0"/>
          <w:rtl/>
        </w:rPr>
        <w:t xml:space="preserve"> נקט</w:t>
      </w:r>
      <w:r w:rsidRPr="000C16A5">
        <w:rPr>
          <w:rFonts w:ascii="David" w:eastAsia="Calibri" w:hAnsi="David" w:hint="cs"/>
          <w:noProof w:val="0"/>
          <w:rtl/>
        </w:rPr>
        <w:t>ה</w:t>
      </w:r>
      <w:r w:rsidRPr="000C16A5">
        <w:rPr>
          <w:rFonts w:ascii="David" w:eastAsia="Calibri" w:hAnsi="David"/>
          <w:noProof w:val="0"/>
          <w:rtl/>
        </w:rPr>
        <w:t xml:space="preserve"> פעולות לצורך בידודה וניתוקה של המנוחה מאחרים ומהמתנגדת בפרט. </w:t>
      </w:r>
      <w:r w:rsidRPr="000C16A5">
        <w:rPr>
          <w:rFonts w:ascii="David" w:eastAsia="Calibri" w:hAnsi="David" w:hint="cs"/>
          <w:noProof w:val="0"/>
          <w:rtl/>
        </w:rPr>
        <w:t xml:space="preserve">כאמור לעיל, בקירוב למועד הרלוונטי, המתנגדת נהגה לשוחח עם המנוחה מידי יום והגיעה לבקרה מתי שהייתה יכולה. </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hint="cs"/>
          <w:noProof w:val="0"/>
          <w:rtl/>
        </w:rPr>
        <w:t xml:space="preserve">המתנגדת העידה כי המנוחה הייתה נוהגת להתקשר אליה מידי שבוע ולספר לה על צעקותיה של המבקשת כששהתה בביתה ועל המריבות ביניהן (סעיף 37 לתצהיר עדותה הראשית של המתנגדת; פרוטוקול הדיון בעמ' 63, שו' 22-1). כלומר, המנוחה הייתה יכולה ליצור קשר עם המתנגדת בכל עת, ואף כפי שלא היה לה חשש לספר על המריבות והצעקות מצד המבקשת, גם הייתה יכולה לספר על השפעה שמופעלת עליה לעריכת הצוואה, לו הייתה מופעלת. </w:t>
      </w:r>
    </w:p>
    <w:p w:rsidR="00021B73"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המתנגדת אישרה כי לפחות עד לשנת 2016 היא הייתה מגיעה לבית המנוחה בכל עת שחפצה בכך, וכי היא אכן עשתה כך (פרוטוקול הדיון בעמ' 65, שו' 6-4; עמ' 66, שו' 17-15).</w:t>
      </w:r>
    </w:p>
    <w:p w:rsidR="00021B73" w:rsidRPr="00925D6B"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noProof w:val="0"/>
        </w:rPr>
      </w:pPr>
      <w:r>
        <w:rPr>
          <w:rFonts w:ascii="David" w:eastAsia="Calibri" w:hAnsi="David" w:hint="cs"/>
          <w:noProof w:val="0"/>
          <w:rtl/>
        </w:rPr>
        <w:t xml:space="preserve">מעבר לכך, אף עולה מדיווחי מחלקת הרווחה ממאי 2014, כי המבקשת התלוננה על כך שעול הטיפול במנוחה מוטל כל כולו על כתפיה ואילו המתנגדת נהגה להגיע מעת לעת. כשהדברים הוצגו למתנגדת בחקירתה והובהר, כי מן האמור משתמע שהמבקשת למעשה רצתה שהמתנגדת תסייע יותר בטיפול במנוחה השיבה המתנגדת: </w:t>
      </w:r>
      <w:r w:rsidRPr="000819DE">
        <w:rPr>
          <w:rFonts w:ascii="David" w:eastAsia="Calibri" w:hAnsi="David" w:hint="cs"/>
          <w:b/>
          <w:bCs/>
          <w:noProof w:val="0"/>
          <w:rtl/>
        </w:rPr>
        <w:t>"אני באתי כמה שיכולתי"</w:t>
      </w:r>
      <w:r>
        <w:rPr>
          <w:rFonts w:ascii="David" w:eastAsia="Calibri" w:hAnsi="David" w:hint="cs"/>
          <w:noProof w:val="0"/>
          <w:rtl/>
        </w:rPr>
        <w:t xml:space="preserve"> (פרוטוקול הדיון בעמ' 81, שו' 15 </w:t>
      </w:r>
      <w:r>
        <w:rPr>
          <w:rFonts w:ascii="David" w:eastAsia="Calibri" w:hAnsi="David"/>
          <w:noProof w:val="0"/>
          <w:rtl/>
        </w:rPr>
        <w:t>–</w:t>
      </w:r>
      <w:r>
        <w:rPr>
          <w:rFonts w:ascii="David" w:eastAsia="Calibri" w:hAnsi="David" w:hint="cs"/>
          <w:noProof w:val="0"/>
          <w:rtl/>
        </w:rPr>
        <w:t xml:space="preserve"> עמ' 84, שו' 7).</w:t>
      </w:r>
    </w:p>
    <w:p w:rsidR="00021B73"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b/>
          <w:bCs/>
          <w:noProof w:val="0"/>
        </w:rPr>
      </w:pPr>
      <w:r>
        <w:rPr>
          <w:rFonts w:ascii="David" w:eastAsia="Calibri" w:hAnsi="David" w:hint="cs"/>
          <w:noProof w:val="0"/>
          <w:rtl/>
        </w:rPr>
        <w:t xml:space="preserve">המתנגדת העידה שלמנוחה לא היו חברות. אך בהמשך עדותה הובהר, כי הסיבה לכך הייתה אופייה ואישיותה של המנוחה שהייתה לטענתה </w:t>
      </w:r>
      <w:r w:rsidRPr="00667D30">
        <w:rPr>
          <w:rFonts w:ascii="David" w:eastAsia="Calibri" w:hAnsi="David" w:hint="cs"/>
          <w:b/>
          <w:bCs/>
          <w:noProof w:val="0"/>
          <w:rtl/>
        </w:rPr>
        <w:t>"אדם מאוד מסוגר ולא רצתה לספר את סיפור חייה..."</w:t>
      </w:r>
      <w:r>
        <w:rPr>
          <w:rFonts w:ascii="David" w:eastAsia="Calibri" w:hAnsi="David" w:hint="cs"/>
          <w:noProof w:val="0"/>
          <w:rtl/>
        </w:rPr>
        <w:t xml:space="preserve"> (פרוטוקול הדיון בעמ' 64, שו' 16-11). הנה כי כן, היעדר חברויות של המנוחה לא נבע כתוצאה מבידוד אשר נגרם בעטיה של המבקשת. </w:t>
      </w:r>
    </w:p>
    <w:p w:rsidR="00021B73" w:rsidRDefault="00021B73" w:rsidP="00021B73">
      <w:pPr>
        <w:pStyle w:val="a9"/>
        <w:numPr>
          <w:ilvl w:val="0"/>
          <w:numId w:val="7"/>
        </w:numPr>
        <w:spacing w:before="100" w:beforeAutospacing="1" w:after="240" w:line="360" w:lineRule="auto"/>
        <w:ind w:left="0" w:firstLine="0"/>
        <w:contextualSpacing w:val="0"/>
        <w:jc w:val="both"/>
        <w:outlineLvl w:val="3"/>
        <w:rPr>
          <w:rFonts w:ascii="David" w:eastAsia="Calibri" w:hAnsi="David"/>
          <w:b/>
          <w:bCs/>
          <w:noProof w:val="0"/>
        </w:rPr>
      </w:pPr>
      <w:r>
        <w:rPr>
          <w:rFonts w:ascii="David" w:eastAsia="Calibri" w:hAnsi="David" w:hint="cs"/>
          <w:noProof w:val="0"/>
          <w:rtl/>
        </w:rPr>
        <w:t xml:space="preserve">מנגד, המבקשת העידה כי למנוחה היו חברות. היא אף צירפה לתצהיר עדות הראשית תמונות להוכחת </w:t>
      </w:r>
      <w:r w:rsidRPr="00F03EF4">
        <w:rPr>
          <w:rFonts w:ascii="David" w:eastAsia="Calibri" w:hAnsi="David" w:hint="cs"/>
          <w:noProof w:val="0"/>
          <w:rtl/>
        </w:rPr>
        <w:t>טענתה בעניין זה (</w:t>
      </w:r>
      <w:r>
        <w:rPr>
          <w:rFonts w:ascii="David" w:eastAsia="Calibri" w:hAnsi="David" w:hint="cs"/>
          <w:noProof w:val="0"/>
          <w:rtl/>
        </w:rPr>
        <w:t>נספחים 11-8 לתצהיר עדותה הראשית של המבקשת</w:t>
      </w:r>
      <w:r w:rsidRPr="00F03EF4">
        <w:rPr>
          <w:rFonts w:ascii="David" w:eastAsia="Calibri" w:hAnsi="David" w:hint="cs"/>
          <w:noProof w:val="0"/>
          <w:rtl/>
        </w:rPr>
        <w:t>). עם זאת, בחקירתה התברר כי התמונות אינן מהמועד הרלוו</w:t>
      </w:r>
      <w:r>
        <w:rPr>
          <w:rFonts w:ascii="David" w:eastAsia="Calibri" w:hAnsi="David" w:hint="cs"/>
          <w:noProof w:val="0"/>
          <w:rtl/>
        </w:rPr>
        <w:t xml:space="preserve">נטי, אך </w:t>
      </w:r>
      <w:r w:rsidRPr="00F03EF4">
        <w:rPr>
          <w:rFonts w:ascii="David" w:eastAsia="Calibri" w:hAnsi="David" w:hint="cs"/>
          <w:noProof w:val="0"/>
          <w:rtl/>
        </w:rPr>
        <w:t>המבקשת</w:t>
      </w:r>
      <w:r>
        <w:rPr>
          <w:rFonts w:ascii="David" w:eastAsia="Calibri" w:hAnsi="David" w:hint="cs"/>
          <w:noProof w:val="0"/>
          <w:rtl/>
        </w:rPr>
        <w:t xml:space="preserve"> הבהירה</w:t>
      </w:r>
      <w:r w:rsidRPr="00F03EF4">
        <w:rPr>
          <w:rFonts w:ascii="David" w:eastAsia="Calibri" w:hAnsi="David" w:hint="cs"/>
          <w:noProof w:val="0"/>
          <w:rtl/>
        </w:rPr>
        <w:t xml:space="preserve"> כי עם מספר חברות המנוחה שמרה על קשר עד לשנת 2013 בערך (</w:t>
      </w:r>
      <w:r>
        <w:rPr>
          <w:rFonts w:ascii="David" w:eastAsia="Calibri" w:hAnsi="David" w:hint="cs"/>
          <w:noProof w:val="0"/>
          <w:rtl/>
        </w:rPr>
        <w:t xml:space="preserve">פרוטוקול הדיון בעמ' 131, שו' 17 </w:t>
      </w:r>
      <w:r>
        <w:rPr>
          <w:rFonts w:ascii="David" w:eastAsia="Calibri" w:hAnsi="David"/>
          <w:noProof w:val="0"/>
          <w:rtl/>
        </w:rPr>
        <w:t>–</w:t>
      </w:r>
      <w:r>
        <w:rPr>
          <w:rFonts w:ascii="David" w:eastAsia="Calibri" w:hAnsi="David" w:hint="cs"/>
          <w:noProof w:val="0"/>
          <w:rtl/>
        </w:rPr>
        <w:t xml:space="preserve"> עמ' 134, שו' 11</w:t>
      </w:r>
      <w:r w:rsidRPr="00F03EF4">
        <w:rPr>
          <w:rFonts w:ascii="David" w:eastAsia="Calibri" w:hAnsi="David" w:hint="cs"/>
          <w:noProof w:val="0"/>
          <w:rtl/>
        </w:rPr>
        <w:t>)</w:t>
      </w:r>
      <w:r>
        <w:rPr>
          <w:rFonts w:ascii="David" w:eastAsia="Calibri" w:hAnsi="David" w:hint="cs"/>
          <w:noProof w:val="0"/>
          <w:rtl/>
        </w:rPr>
        <w:t>. עוד העידה המבקשת, כי המנוחה הייתה בקשר טלפוני עם אחיה, אשר מתגורר בארה"ב, והשניים נהגו לשוחח לפחות פעמיים בחודש. המנוחה גם נהגה לשוחח לפחות פעמיים בשבוע עם בת דודתה שמתגוררת בגרמניה. כך היה עד לשנת 2016 (פרוטוקול הדיון בעמ' 135, שו' 15-4).</w:t>
      </w:r>
    </w:p>
    <w:p w:rsidR="00021B73" w:rsidRDefault="00021B73" w:rsidP="00021B73">
      <w:pPr>
        <w:pStyle w:val="a9"/>
        <w:numPr>
          <w:ilvl w:val="0"/>
          <w:numId w:val="7"/>
        </w:numPr>
        <w:spacing w:line="360" w:lineRule="auto"/>
        <w:ind w:left="0" w:firstLine="0"/>
        <w:jc w:val="both"/>
        <w:rPr>
          <w:rFonts w:ascii="Arial" w:hAnsi="Arial"/>
          <w:noProof w:val="0"/>
        </w:rPr>
      </w:pPr>
      <w:r>
        <w:rPr>
          <w:rFonts w:ascii="Arial" w:hAnsi="Arial"/>
          <w:b/>
          <w:bCs/>
          <w:noProof w:val="0"/>
          <w:rtl/>
        </w:rPr>
        <w:t>לסיכום מבחן העזר השלישי</w:t>
      </w:r>
      <w:r>
        <w:rPr>
          <w:rFonts w:ascii="Arial" w:hAnsi="Arial"/>
          <w:noProof w:val="0"/>
          <w:rtl/>
        </w:rPr>
        <w:t xml:space="preserve"> – </w:t>
      </w:r>
      <w:r>
        <w:rPr>
          <w:rFonts w:ascii="Arial" w:hAnsi="Arial" w:hint="cs"/>
          <w:noProof w:val="0"/>
          <w:rtl/>
        </w:rPr>
        <w:t>חרף העובדה כי למנוחה לא היו "חיי חברה עשירים" במועד עריכת הצוואה,</w:t>
      </w:r>
      <w:r>
        <w:rPr>
          <w:rFonts w:ascii="Arial" w:hAnsi="Arial"/>
          <w:noProof w:val="0"/>
          <w:rtl/>
        </w:rPr>
        <w:t xml:space="preserve"> לא מצאתי כי המבקש</w:t>
      </w:r>
      <w:r>
        <w:rPr>
          <w:rFonts w:ascii="Arial" w:hAnsi="Arial" w:hint="cs"/>
          <w:noProof w:val="0"/>
          <w:rtl/>
        </w:rPr>
        <w:t>ת</w:t>
      </w:r>
      <w:r>
        <w:rPr>
          <w:rFonts w:ascii="Arial" w:hAnsi="Arial"/>
          <w:noProof w:val="0"/>
          <w:rtl/>
        </w:rPr>
        <w:t xml:space="preserve"> פעל</w:t>
      </w:r>
      <w:r>
        <w:rPr>
          <w:rFonts w:ascii="Arial" w:hAnsi="Arial" w:hint="cs"/>
          <w:noProof w:val="0"/>
          <w:rtl/>
        </w:rPr>
        <w:t>ה</w:t>
      </w:r>
      <w:r>
        <w:rPr>
          <w:rFonts w:ascii="Arial" w:hAnsi="Arial"/>
          <w:noProof w:val="0"/>
          <w:rtl/>
        </w:rPr>
        <w:t xml:space="preserve"> לניתוקה של המנוחה מהקרובים לה</w:t>
      </w:r>
      <w:r>
        <w:rPr>
          <w:rFonts w:ascii="Arial" w:hAnsi="Arial" w:hint="cs"/>
          <w:noProof w:val="0"/>
          <w:rtl/>
        </w:rPr>
        <w:t xml:space="preserve"> והיא הייתה בקשר רציף עם המתנגדת</w:t>
      </w:r>
      <w:r>
        <w:rPr>
          <w:rFonts w:ascii="Arial" w:hAnsi="Arial"/>
          <w:noProof w:val="0"/>
          <w:rtl/>
        </w:rPr>
        <w:t xml:space="preserve">. </w:t>
      </w:r>
    </w:p>
    <w:p w:rsidR="00021B73" w:rsidRDefault="00021B73" w:rsidP="00021B73">
      <w:pPr>
        <w:spacing w:line="360" w:lineRule="auto"/>
        <w:jc w:val="both"/>
        <w:rPr>
          <w:rFonts w:ascii="Arial" w:hAnsi="Arial"/>
          <w:noProof w:val="0"/>
        </w:rPr>
      </w:pPr>
    </w:p>
    <w:p w:rsidR="00021B73" w:rsidRDefault="00021B73" w:rsidP="00021B73">
      <w:pPr>
        <w:spacing w:after="120" w:line="360" w:lineRule="auto"/>
        <w:jc w:val="both"/>
        <w:rPr>
          <w:rFonts w:ascii="Arial" w:hAnsi="Arial"/>
          <w:b/>
          <w:bCs/>
          <w:noProof w:val="0"/>
          <w:sz w:val="28"/>
          <w:szCs w:val="28"/>
          <w:u w:val="single"/>
          <w:rtl/>
        </w:rPr>
      </w:pPr>
      <w:r>
        <w:rPr>
          <w:rFonts w:ascii="David" w:eastAsia="Calibri" w:hAnsi="David"/>
          <w:b/>
          <w:bCs/>
          <w:noProof w:val="0"/>
          <w:sz w:val="28"/>
          <w:szCs w:val="28"/>
          <w:u w:val="single"/>
          <w:rtl/>
        </w:rPr>
        <w:t>מבחן העזר הרביעי – נסיבות עריכת הצוואה ומידת התערבותו של הזוכה בעריכתה</w:t>
      </w:r>
    </w:p>
    <w:p w:rsidR="00021B73" w:rsidRDefault="00021B73" w:rsidP="00021B73">
      <w:pPr>
        <w:pStyle w:val="a9"/>
        <w:numPr>
          <w:ilvl w:val="0"/>
          <w:numId w:val="7"/>
        </w:numPr>
        <w:tabs>
          <w:tab w:val="left" w:pos="708"/>
        </w:tabs>
        <w:spacing w:after="240" w:line="360" w:lineRule="auto"/>
        <w:ind w:left="0" w:firstLine="0"/>
        <w:contextualSpacing w:val="0"/>
        <w:jc w:val="both"/>
        <w:rPr>
          <w:noProof w:val="0"/>
          <w:rtl/>
        </w:rPr>
      </w:pPr>
      <w:r>
        <w:rPr>
          <w:rFonts w:ascii="David" w:hAnsi="David"/>
          <w:noProof w:val="0"/>
          <w:rtl/>
        </w:rPr>
        <w:t>במסגרת המבחן הרביעי יש לבחון את מעורבות</w:t>
      </w:r>
      <w:r>
        <w:rPr>
          <w:rFonts w:ascii="David" w:hAnsi="David"/>
        </w:rPr>
        <w:t xml:space="preserve"> </w:t>
      </w:r>
      <w:r>
        <w:rPr>
          <w:rFonts w:ascii="David" w:hAnsi="David"/>
          <w:noProof w:val="0"/>
          <w:rtl/>
        </w:rPr>
        <w:t>הזוכה</w:t>
      </w:r>
      <w:r>
        <w:rPr>
          <w:rFonts w:ascii="David" w:hAnsi="David"/>
        </w:rPr>
        <w:t xml:space="preserve"> </w:t>
      </w:r>
      <w:r>
        <w:rPr>
          <w:rFonts w:ascii="David" w:hAnsi="David"/>
          <w:noProof w:val="0"/>
          <w:rtl/>
        </w:rPr>
        <w:t>בעריכת</w:t>
      </w:r>
      <w:r>
        <w:rPr>
          <w:rFonts w:ascii="David" w:hAnsi="David"/>
        </w:rPr>
        <w:t xml:space="preserve"> </w:t>
      </w:r>
      <w:r>
        <w:rPr>
          <w:rFonts w:ascii="David" w:hAnsi="David"/>
          <w:noProof w:val="0"/>
          <w:rtl/>
        </w:rPr>
        <w:t>הצוואה, אף</w:t>
      </w:r>
      <w:r>
        <w:rPr>
          <w:rFonts w:ascii="David" w:hAnsi="David"/>
        </w:rPr>
        <w:t xml:space="preserve"> </w:t>
      </w:r>
      <w:r>
        <w:rPr>
          <w:rFonts w:ascii="David" w:hAnsi="David"/>
          <w:noProof w:val="0"/>
          <w:rtl/>
        </w:rPr>
        <w:t>אם</w:t>
      </w:r>
      <w:r>
        <w:rPr>
          <w:rFonts w:ascii="David" w:hAnsi="David"/>
        </w:rPr>
        <w:t xml:space="preserve"> </w:t>
      </w:r>
      <w:r>
        <w:rPr>
          <w:rFonts w:ascii="David" w:hAnsi="David"/>
          <w:noProof w:val="0"/>
          <w:rtl/>
        </w:rPr>
        <w:t>אינה</w:t>
      </w:r>
      <w:r>
        <w:rPr>
          <w:rFonts w:ascii="David" w:hAnsi="David"/>
        </w:rPr>
        <w:t xml:space="preserve"> </w:t>
      </w:r>
      <w:r>
        <w:rPr>
          <w:rFonts w:ascii="David" w:hAnsi="David"/>
          <w:noProof w:val="0"/>
          <w:rtl/>
        </w:rPr>
        <w:t>עולה</w:t>
      </w:r>
      <w:r>
        <w:rPr>
          <w:rFonts w:ascii="David" w:hAnsi="David"/>
        </w:rPr>
        <w:t xml:space="preserve"> </w:t>
      </w:r>
      <w:r>
        <w:rPr>
          <w:rFonts w:ascii="David" w:hAnsi="David"/>
          <w:noProof w:val="0"/>
          <w:rtl/>
        </w:rPr>
        <w:t>לכדי מעורבות</w:t>
      </w:r>
      <w:r>
        <w:rPr>
          <w:rFonts w:ascii="David" w:hAnsi="David"/>
        </w:rPr>
        <w:t xml:space="preserve"> </w:t>
      </w:r>
      <w:r>
        <w:rPr>
          <w:rFonts w:ascii="David" w:hAnsi="David"/>
          <w:noProof w:val="0"/>
          <w:rtl/>
        </w:rPr>
        <w:t xml:space="preserve">לפי סעיף 35 לחוק הירושה. </w:t>
      </w:r>
    </w:p>
    <w:p w:rsidR="00021B73" w:rsidRDefault="00021B73" w:rsidP="00021B73">
      <w:pPr>
        <w:pStyle w:val="a9"/>
        <w:numPr>
          <w:ilvl w:val="0"/>
          <w:numId w:val="7"/>
        </w:numPr>
        <w:tabs>
          <w:tab w:val="left" w:pos="708"/>
        </w:tabs>
        <w:spacing w:after="240" w:line="360" w:lineRule="auto"/>
        <w:ind w:left="0" w:firstLine="0"/>
        <w:contextualSpacing w:val="0"/>
        <w:jc w:val="both"/>
        <w:rPr>
          <w:noProof w:val="0"/>
        </w:rPr>
      </w:pPr>
      <w:r>
        <w:rPr>
          <w:noProof w:val="0"/>
          <w:rtl/>
        </w:rPr>
        <w:t xml:space="preserve"> הליכי התנגדות לצוואה טומנים בחובם חוסר איזון מובנה בין מגיש הבקשה לקיום הצוואה לבין המתנגד לקיומה. האחרון לוקה בחסך ראייתי המקשה על גיבוש התשתית העובדתית הנוגעת למערכת היחסים בין הזוכה לבין המצווה; לנסיבות עריכת הצוואה; ולמידת מעורבותו של הזוכה בעשייתה. תשתית עובדתית זו מצויה, ככלל, בידיעת הזוכה ולפיכך, יש מקום להקל על המתנגד, בפרט נוכח העובדה שנטל השכנוע לפסלות הצוואה מוטל, בצוואה הנחזית להיות תקינה מבחינה צורנית, עליו, הגם שנטל זה הוא ברמה של מאזן ההסתברויות (עמ"ש 36529-11-10 </w:t>
      </w:r>
      <w:r>
        <w:rPr>
          <w:b/>
          <w:bCs/>
          <w:noProof w:val="0"/>
          <w:rtl/>
        </w:rPr>
        <w:t xml:space="preserve">ב' ש' מ' נ' ש' מ' </w:t>
      </w:r>
      <w:r>
        <w:rPr>
          <w:noProof w:val="0"/>
          <w:rtl/>
        </w:rPr>
        <w:t xml:space="preserve">(28.2.2012); </w:t>
      </w:r>
      <w:r>
        <w:rPr>
          <w:b/>
          <w:bCs/>
          <w:noProof w:val="0"/>
          <w:rtl/>
        </w:rPr>
        <w:t>דיני ירושה ועיזבון</w:t>
      </w:r>
      <w:r>
        <w:rPr>
          <w:noProof w:val="0"/>
          <w:rtl/>
        </w:rPr>
        <w:t>, בעמ' 192).</w:t>
      </w:r>
    </w:p>
    <w:p w:rsidR="00021B73" w:rsidRDefault="00021B73" w:rsidP="00021B73">
      <w:pPr>
        <w:numPr>
          <w:ilvl w:val="0"/>
          <w:numId w:val="7"/>
        </w:numPr>
        <w:spacing w:after="240" w:line="360" w:lineRule="auto"/>
        <w:ind w:left="0" w:firstLine="0"/>
        <w:jc w:val="both"/>
        <w:rPr>
          <w:noProof w:val="0"/>
          <w:rtl/>
        </w:rPr>
      </w:pPr>
      <w:r>
        <w:rPr>
          <w:noProof w:val="0"/>
          <w:rtl/>
        </w:rPr>
        <w:t xml:space="preserve">בחינת נסיבות עריכת הצוואה, על סמך הראיות והעדויות שהונחו לפניי, מלמדות כי הצוואה נחתמה על ידי המנוחה מתוך: </w:t>
      </w:r>
      <w:r>
        <w:rPr>
          <w:b/>
          <w:bCs/>
          <w:noProof w:val="0"/>
          <w:rtl/>
        </w:rPr>
        <w:t>גמירות דעת מובהקת, רצון מלא וחופשי והבנת משמעויות כלל הוראות הצוואה, שממילא אינן מורכבות בענייננו</w:t>
      </w:r>
      <w:r>
        <w:rPr>
          <w:noProof w:val="0"/>
          <w:rtl/>
        </w:rPr>
        <w:t xml:space="preserve">. </w:t>
      </w:r>
      <w:r>
        <w:rPr>
          <w:rFonts w:hint="cs"/>
          <w:noProof w:val="0"/>
          <w:rtl/>
        </w:rPr>
        <w:t xml:space="preserve">הצוואה כללה דברי הסבר אשר עולים בקנה אחד עם החומר והעדויות שהובאו לפני במהלך ניהול ההליך, וכאמור מצאתי בהם די כדי להוכיח את הגיונה של הצוואה. </w:t>
      </w:r>
    </w:p>
    <w:p w:rsidR="00021B73" w:rsidRDefault="00021B73" w:rsidP="00605689">
      <w:pPr>
        <w:numPr>
          <w:ilvl w:val="0"/>
          <w:numId w:val="7"/>
        </w:numPr>
        <w:spacing w:after="240" w:line="360" w:lineRule="auto"/>
        <w:ind w:left="0" w:firstLine="0"/>
        <w:jc w:val="both"/>
        <w:rPr>
          <w:noProof w:val="0"/>
        </w:rPr>
      </w:pPr>
      <w:r>
        <w:rPr>
          <w:rFonts w:ascii="Californian FB" w:hAnsi="Californian FB"/>
          <w:noProof w:val="0"/>
          <w:rtl/>
          <w:lang w:eastAsia="he-IL"/>
        </w:rPr>
        <w:t>לנוכח מצבה הפיזי של המנוחה באותה העת, עלה החשד שמא המבקש</w:t>
      </w:r>
      <w:r>
        <w:rPr>
          <w:rFonts w:ascii="Californian FB" w:hAnsi="Californian FB" w:hint="cs"/>
          <w:noProof w:val="0"/>
          <w:rtl/>
          <w:lang w:eastAsia="he-IL"/>
        </w:rPr>
        <w:t xml:space="preserve">ת היא שהסיעה את המנוחה למשרדו של עו"ד </w:t>
      </w:r>
      <w:r w:rsidR="00605689">
        <w:rPr>
          <w:rFonts w:ascii="Californian FB" w:hAnsi="Californian FB" w:hint="cs"/>
          <w:noProof w:val="0"/>
          <w:rtl/>
          <w:lang w:eastAsia="he-IL"/>
        </w:rPr>
        <w:t>אי'</w:t>
      </w:r>
      <w:r>
        <w:rPr>
          <w:rFonts w:ascii="Californian FB" w:hAnsi="Californian FB" w:hint="cs"/>
          <w:noProof w:val="0"/>
          <w:rtl/>
          <w:lang w:eastAsia="he-IL"/>
        </w:rPr>
        <w:t xml:space="preserve">. </w:t>
      </w:r>
      <w:r>
        <w:rPr>
          <w:rFonts w:ascii="Californian FB" w:hAnsi="Californian FB"/>
          <w:noProof w:val="0"/>
          <w:rtl/>
          <w:lang w:eastAsia="he-IL"/>
        </w:rPr>
        <w:t>בפסיקה נקבע כי פעולת שליחות עבור המצווה, הנוגעת לעריכת הצוואה, כגון התקשרות עם עורך דין בנוגע לעריכתה, או שיחות עם המצווה, אינן נכנסות לגדרו של סעיף 35 לחוק הירושה</w:t>
      </w:r>
      <w:r>
        <w:rPr>
          <w:rFonts w:ascii="Calibri" w:hAnsi="Calibri"/>
          <w:noProof w:val="0"/>
          <w:rtl/>
        </w:rPr>
        <w:t xml:space="preserve"> </w:t>
      </w:r>
      <w:r>
        <w:rPr>
          <w:rFonts w:ascii="Californian FB" w:hAnsi="Californian FB"/>
          <w:noProof w:val="0"/>
          <w:rtl/>
          <w:lang w:eastAsia="he-IL"/>
        </w:rPr>
        <w:t xml:space="preserve">(ע"א 6496/98 </w:t>
      </w:r>
      <w:r>
        <w:rPr>
          <w:rFonts w:ascii="Calibri" w:hAnsi="Calibri"/>
          <w:b/>
          <w:bCs/>
          <w:noProof w:val="0"/>
          <w:color w:val="000000"/>
          <w:rtl/>
        </w:rPr>
        <w:t>בוטו נ' בוטו,</w:t>
      </w:r>
      <w:r>
        <w:rPr>
          <w:rFonts w:ascii="Calibri" w:hAnsi="Calibri"/>
          <w:noProof w:val="0"/>
          <w:color w:val="000000"/>
          <w:rtl/>
        </w:rPr>
        <w:t xml:space="preserve"> נד</w:t>
      </w:r>
      <w:r>
        <w:rPr>
          <w:rFonts w:ascii="Californian FB" w:hAnsi="Californian FB"/>
          <w:noProof w:val="0"/>
          <w:rtl/>
          <w:lang w:eastAsia="he-IL"/>
        </w:rPr>
        <w:t xml:space="preserve">(1) 19 (2000); ת"ע (ת"א) 21509-05-21 </w:t>
      </w:r>
      <w:r>
        <w:rPr>
          <w:rFonts w:ascii="Californian FB" w:hAnsi="Californian FB"/>
          <w:b/>
          <w:bCs/>
          <w:noProof w:val="0"/>
          <w:rtl/>
          <w:lang w:eastAsia="he-IL"/>
        </w:rPr>
        <w:t>מ.נ נ' ו.ד.ד</w:t>
      </w:r>
      <w:r>
        <w:rPr>
          <w:rFonts w:ascii="Californian FB" w:hAnsi="Californian FB"/>
          <w:noProof w:val="0"/>
          <w:rtl/>
          <w:lang w:eastAsia="he-IL"/>
        </w:rPr>
        <w:t xml:space="preserve"> (2.3.2023)). ובענייננו, גם אם המבקש</w:t>
      </w:r>
      <w:r>
        <w:rPr>
          <w:rFonts w:ascii="Californian FB" w:hAnsi="Californian FB" w:hint="cs"/>
          <w:noProof w:val="0"/>
          <w:rtl/>
          <w:lang w:eastAsia="he-IL"/>
        </w:rPr>
        <w:t>ת או מי מטעמה סייעו למנוחה להגיע למשרד עורכי הדין לצורך עריכת הצוואה (דבר שלא הוכח)</w:t>
      </w:r>
      <w:r>
        <w:rPr>
          <w:rFonts w:ascii="Californian FB" w:hAnsi="Californian FB"/>
          <w:noProof w:val="0"/>
          <w:rtl/>
          <w:lang w:eastAsia="he-IL"/>
        </w:rPr>
        <w:t>, אין בכך כדי להוות נסיבה המעידה על השפעה בלתי הוגנת מצד</w:t>
      </w:r>
      <w:r>
        <w:rPr>
          <w:rFonts w:ascii="Californian FB" w:hAnsi="Californian FB" w:hint="cs"/>
          <w:noProof w:val="0"/>
          <w:rtl/>
          <w:lang w:eastAsia="he-IL"/>
        </w:rPr>
        <w:t>ה</w:t>
      </w:r>
      <w:r>
        <w:rPr>
          <w:rFonts w:ascii="Californian FB" w:hAnsi="Californian FB"/>
          <w:noProof w:val="0"/>
          <w:rtl/>
          <w:lang w:eastAsia="he-IL"/>
        </w:rPr>
        <w:t>.</w:t>
      </w:r>
    </w:p>
    <w:p w:rsidR="00021B73" w:rsidRDefault="00021B73" w:rsidP="00021B73">
      <w:pPr>
        <w:pStyle w:val="a9"/>
        <w:numPr>
          <w:ilvl w:val="0"/>
          <w:numId w:val="7"/>
        </w:numPr>
        <w:spacing w:after="240" w:line="360" w:lineRule="auto"/>
        <w:ind w:left="0" w:firstLine="0"/>
        <w:jc w:val="both"/>
        <w:rPr>
          <w:rFonts w:ascii="Californian FB" w:hAnsi="Californian FB"/>
          <w:noProof w:val="0"/>
          <w:lang w:eastAsia="he-IL"/>
        </w:rPr>
      </w:pPr>
      <w:r>
        <w:rPr>
          <w:noProof w:val="0"/>
          <w:rtl/>
        </w:rPr>
        <w:t>כפי שכבר תואר לעיל (תחת הפרק של נטילת חלק בעריכת הצוואה),</w:t>
      </w:r>
      <w:r w:rsidRPr="007224DD">
        <w:rPr>
          <w:b/>
          <w:bCs/>
          <w:noProof w:val="0"/>
          <w:rtl/>
        </w:rPr>
        <w:t xml:space="preserve"> לא התרשמתי כי למבקש</w:t>
      </w:r>
      <w:r w:rsidRPr="007224DD">
        <w:rPr>
          <w:rFonts w:hint="cs"/>
          <w:b/>
          <w:bCs/>
          <w:noProof w:val="0"/>
          <w:rtl/>
        </w:rPr>
        <w:t>ת</w:t>
      </w:r>
      <w:r w:rsidRPr="007224DD">
        <w:rPr>
          <w:b/>
          <w:bCs/>
          <w:noProof w:val="0"/>
          <w:rtl/>
        </w:rPr>
        <w:t xml:space="preserve"> </w:t>
      </w:r>
      <w:r w:rsidRPr="007224DD">
        <w:rPr>
          <w:rFonts w:hint="cs"/>
          <w:b/>
          <w:bCs/>
          <w:noProof w:val="0"/>
          <w:rtl/>
        </w:rPr>
        <w:t>היה חלק בעריכת הצוואה, ולפחות לא כזה המביא לבטלות הצוואה</w:t>
      </w:r>
      <w:r w:rsidRPr="007224DD">
        <w:rPr>
          <w:rFonts w:ascii="Californian FB" w:hAnsi="Californian FB" w:hint="cs"/>
          <w:b/>
          <w:bCs/>
          <w:noProof w:val="0"/>
          <w:rtl/>
          <w:lang w:eastAsia="he-IL"/>
        </w:rPr>
        <w:t>.</w:t>
      </w:r>
    </w:p>
    <w:p w:rsidR="00021B73" w:rsidRPr="000631EC" w:rsidRDefault="00021B73" w:rsidP="00021B73">
      <w:pPr>
        <w:spacing w:after="120" w:line="360" w:lineRule="auto"/>
        <w:jc w:val="both"/>
        <w:rPr>
          <w:noProof w:val="0"/>
        </w:rPr>
      </w:pPr>
      <w:r w:rsidRPr="000631EC">
        <w:rPr>
          <w:rFonts w:ascii="David" w:eastAsia="Calibri" w:hAnsi="David" w:hint="cs"/>
          <w:b/>
          <w:bCs/>
          <w:noProof w:val="0"/>
          <w:sz w:val="28"/>
          <w:szCs w:val="28"/>
          <w:u w:val="single"/>
          <w:rtl/>
        </w:rPr>
        <w:t xml:space="preserve">מבחן </w:t>
      </w:r>
      <w:r w:rsidRPr="000631EC">
        <w:rPr>
          <w:rFonts w:ascii="David" w:eastAsia="Calibri" w:hAnsi="David"/>
          <w:b/>
          <w:bCs/>
          <w:noProof w:val="0"/>
          <w:sz w:val="28"/>
          <w:szCs w:val="28"/>
          <w:u w:val="single"/>
          <w:rtl/>
        </w:rPr>
        <w:t>"</w:t>
      </w:r>
      <w:r w:rsidRPr="000631EC">
        <w:rPr>
          <w:rFonts w:ascii="David" w:eastAsia="Calibri" w:hAnsi="David" w:hint="cs"/>
          <w:b/>
          <w:bCs/>
          <w:noProof w:val="0"/>
          <w:sz w:val="28"/>
          <w:szCs w:val="28"/>
          <w:u w:val="single"/>
          <w:rtl/>
        </w:rPr>
        <w:t>ה</w:t>
      </w:r>
      <w:r w:rsidRPr="000631EC">
        <w:rPr>
          <w:rFonts w:ascii="David" w:eastAsia="Calibri" w:hAnsi="David"/>
          <w:b/>
          <w:bCs/>
          <w:noProof w:val="0"/>
          <w:sz w:val="28"/>
          <w:szCs w:val="28"/>
          <w:u w:val="single"/>
          <w:rtl/>
        </w:rPr>
        <w:t>ניכור בגיל השלישי" או "ניצול הזקן המוחלש"</w:t>
      </w:r>
    </w:p>
    <w:p w:rsidR="00021B73" w:rsidRDefault="00021B73" w:rsidP="00021B73">
      <w:pPr>
        <w:numPr>
          <w:ilvl w:val="0"/>
          <w:numId w:val="7"/>
        </w:numPr>
        <w:spacing w:after="240" w:line="360" w:lineRule="auto"/>
        <w:ind w:left="0" w:firstLine="0"/>
        <w:jc w:val="both"/>
        <w:rPr>
          <w:rFonts w:ascii="David" w:hAnsi="David"/>
          <w:noProof w:val="0"/>
        </w:rPr>
      </w:pPr>
      <w:r w:rsidRPr="000631EC">
        <w:rPr>
          <w:rFonts w:ascii="David" w:hAnsi="David"/>
          <w:noProof w:val="0"/>
          <w:rtl/>
        </w:rPr>
        <w:t>בפסק דיני</w:t>
      </w:r>
      <w:r w:rsidRPr="00CC4F6D">
        <w:rPr>
          <w:rFonts w:ascii="David" w:hAnsi="David"/>
          <w:noProof w:val="0"/>
          <w:rtl/>
        </w:rPr>
        <w:t xml:space="preserve"> ב-ת</w:t>
      </w:r>
      <w:r w:rsidRPr="00CC4F6D">
        <w:rPr>
          <w:rFonts w:ascii="David" w:hAnsi="David"/>
          <w:noProof w:val="0"/>
        </w:rPr>
        <w:t>"</w:t>
      </w:r>
      <w:r w:rsidRPr="00CC4F6D">
        <w:rPr>
          <w:rFonts w:ascii="David" w:hAnsi="David"/>
          <w:noProof w:val="0"/>
          <w:rtl/>
        </w:rPr>
        <w:t>ע (ת"א) 40917-10-17 </w:t>
      </w:r>
      <w:r w:rsidRPr="00CC4F6D">
        <w:rPr>
          <w:rFonts w:ascii="David" w:hAnsi="David"/>
          <w:b/>
          <w:bCs/>
          <w:noProof w:val="0"/>
          <w:rtl/>
        </w:rPr>
        <w:t>ש' א</w:t>
      </w:r>
      <w:r w:rsidRPr="00CC4F6D">
        <w:rPr>
          <w:rFonts w:ascii="David" w:hAnsi="David"/>
          <w:b/>
          <w:bCs/>
          <w:noProof w:val="0"/>
        </w:rPr>
        <w:t>' </w:t>
      </w:r>
      <w:r w:rsidRPr="00CC4F6D">
        <w:rPr>
          <w:rFonts w:ascii="David" w:hAnsi="David"/>
          <w:b/>
          <w:bCs/>
          <w:noProof w:val="0"/>
          <w:rtl/>
        </w:rPr>
        <w:t>נ</w:t>
      </w:r>
      <w:r w:rsidRPr="00CC4F6D">
        <w:rPr>
          <w:rFonts w:ascii="David" w:hAnsi="David"/>
          <w:b/>
          <w:bCs/>
          <w:noProof w:val="0"/>
        </w:rPr>
        <w:t>'</w:t>
      </w:r>
      <w:r w:rsidRPr="00CC4F6D">
        <w:rPr>
          <w:rFonts w:ascii="David" w:hAnsi="David"/>
          <w:noProof w:val="0"/>
        </w:rPr>
        <w:t> </w:t>
      </w:r>
      <w:r w:rsidRPr="00CC4F6D">
        <w:rPr>
          <w:rFonts w:ascii="David" w:hAnsi="David"/>
          <w:b/>
          <w:bCs/>
          <w:noProof w:val="0"/>
          <w:rtl/>
        </w:rPr>
        <w:t>ד' ג' ש</w:t>
      </w:r>
      <w:r w:rsidRPr="00CC4F6D">
        <w:rPr>
          <w:rFonts w:ascii="David" w:hAnsi="David"/>
          <w:b/>
          <w:bCs/>
          <w:noProof w:val="0"/>
        </w:rPr>
        <w:t>'</w:t>
      </w:r>
      <w:r w:rsidRPr="00CC4F6D">
        <w:rPr>
          <w:rFonts w:ascii="David" w:hAnsi="David"/>
          <w:noProof w:val="0"/>
          <w:rtl/>
        </w:rPr>
        <w:t xml:space="preserve"> (21.9.2020) הוצע מבחן עזר נוסף על אלה שנקבעו בעניין מרום. </w:t>
      </w:r>
      <w:r w:rsidRPr="00CC4F6D">
        <w:rPr>
          <w:rFonts w:ascii="David" w:eastAsia="Calibri" w:hAnsi="David"/>
          <w:noProof w:val="0"/>
          <w:rtl/>
        </w:rPr>
        <w:t>לפי מבחן זה ייתכנו מצבים בהם ילד אשר התנדב מיוזמתו לטפל בהורהו במסירות בערוב ימיו, ייתפש כגורם מנכר מקום שבו יוכח, כי פעל מתוך מטרה להשתלט על ההורה ולהרחיק ממנו את בני המשפחה האחרים</w:t>
      </w:r>
      <w:r>
        <w:rPr>
          <w:rFonts w:ascii="David" w:eastAsia="Calibri" w:hAnsi="David" w:hint="cs"/>
          <w:noProof w:val="0"/>
          <w:rtl/>
        </w:rPr>
        <w:t xml:space="preserve"> תוך ניצול חולשתו הפיזית והשכלית</w:t>
      </w:r>
      <w:r w:rsidRPr="00CC4F6D">
        <w:rPr>
          <w:rFonts w:ascii="David" w:eastAsia="Calibri" w:hAnsi="David"/>
          <w:noProof w:val="0"/>
          <w:rtl/>
        </w:rPr>
        <w:t>.</w:t>
      </w:r>
      <w:r>
        <w:rPr>
          <w:rFonts w:ascii="David" w:hAnsi="David" w:hint="cs"/>
          <w:noProof w:val="0"/>
          <w:rtl/>
        </w:rPr>
        <w:t xml:space="preserve"> </w:t>
      </w:r>
    </w:p>
    <w:p w:rsidR="00021B73" w:rsidRPr="00CC4F6D" w:rsidRDefault="00021B73" w:rsidP="00021B73">
      <w:pPr>
        <w:numPr>
          <w:ilvl w:val="0"/>
          <w:numId w:val="7"/>
        </w:numPr>
        <w:spacing w:after="240" w:line="360" w:lineRule="auto"/>
        <w:ind w:left="0" w:firstLine="0"/>
        <w:jc w:val="both"/>
        <w:rPr>
          <w:rFonts w:ascii="David" w:hAnsi="David"/>
          <w:noProof w:val="0"/>
        </w:rPr>
      </w:pPr>
      <w:r>
        <w:rPr>
          <w:rFonts w:ascii="David" w:hAnsi="David" w:hint="cs"/>
          <w:noProof w:val="0"/>
          <w:rtl/>
        </w:rPr>
        <w:t xml:space="preserve">עם זאת, כפי שתואר בהרחבה לעיל, לא מצאתי כי בענייננו הוכח שבמועד הרלוונטי הייתה המנוחה בבחינת "זקן מוחלש" והמבקשת לא ניצלה את מצבה. התרשמתי כי במועד עריכת הצוואה הייתה המנוחה צלולה ואף דעתנית, ובוודאי שלא בבחינת "בובה על חוט". גם לא הוכח, שבמועד עריכת הצוואה או בקירוב לו, נוצר ניכור בין המתנגדת לבין המנוחה בעטיה של המבקשת. המתנגדת טענה כי במועד הרלוונטי הייתה בקשר יומיומי עם המנוחה ואף דאגה ללוות אותה לבדיקות רופאים על פי הצורך. </w:t>
      </w:r>
    </w:p>
    <w:p w:rsidR="00021B73" w:rsidRDefault="00021B73" w:rsidP="00021B73">
      <w:pPr>
        <w:numPr>
          <w:ilvl w:val="0"/>
          <w:numId w:val="7"/>
        </w:numPr>
        <w:spacing w:after="240" w:line="360" w:lineRule="auto"/>
        <w:ind w:left="0" w:firstLine="0"/>
        <w:jc w:val="both"/>
        <w:rPr>
          <w:noProof w:val="0"/>
        </w:rPr>
      </w:pPr>
      <w:r w:rsidRPr="00106C75">
        <w:rPr>
          <w:highlight w:val="yellow"/>
        </w:rPr>
        <mc:AlternateContent>
          <mc:Choice Requires="wps">
            <w:drawing>
              <wp:anchor distT="0" distB="0" distL="114300" distR="114300" simplePos="0" relativeHeight="251659264" behindDoc="0" locked="0" layoutInCell="1" allowOverlap="1" wp14:anchorId="294CC380" wp14:editId="00F4DF1E">
                <wp:simplePos x="0" y="0"/>
                <wp:positionH relativeFrom="margin">
                  <wp:posOffset>-118111</wp:posOffset>
                </wp:positionH>
                <wp:positionV relativeFrom="paragraph">
                  <wp:posOffset>1403350</wp:posOffset>
                </wp:positionV>
                <wp:extent cx="5591175" cy="819150"/>
                <wp:effectExtent l="0" t="0" r="28575" b="19050"/>
                <wp:wrapNone/>
                <wp:docPr id="20" name="מלבן מעוגל 20"/>
                <wp:cNvGraphicFramePr/>
                <a:graphic xmlns:a="http://schemas.openxmlformats.org/drawingml/2006/main">
                  <a:graphicData uri="http://schemas.microsoft.com/office/word/2010/wordprocessingShape">
                    <wps:wsp>
                      <wps:cNvSpPr/>
                      <wps:spPr>
                        <a:xfrm>
                          <a:off x="0" y="0"/>
                          <a:ext cx="5591175" cy="819150"/>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CCDDEA" id="מלבן מעוגל 20" o:spid="_x0000_s1026" style="position:absolute;left:0;text-align:left;margin-left:-9.3pt;margin-top:110.5pt;width:440.2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" fillcolor="#4f81bd [3204]" strokecolor="#243f60 [1604]" strokeweight="2pt">
                <v:fill opacity="19789f"/>
                <w10:wrap anchorx="margin"/>
              </v:roundrect>
            </w:pict>
          </mc:Fallback>
        </mc:AlternateContent>
      </w:r>
      <w:r>
        <w:rPr>
          <w:noProof w:val="0"/>
          <w:rtl/>
        </w:rPr>
        <w:t>לנוכח כל האמור לעיל, חרף עצמאותה הפיזית המוגבלת</w:t>
      </w:r>
      <w:r>
        <w:rPr>
          <w:rFonts w:hint="cs"/>
          <w:noProof w:val="0"/>
          <w:rtl/>
        </w:rPr>
        <w:t xml:space="preserve"> יחסית</w:t>
      </w:r>
      <w:r>
        <w:rPr>
          <w:noProof w:val="0"/>
          <w:rtl/>
        </w:rPr>
        <w:t xml:space="preserve"> של המנוחה</w:t>
      </w:r>
      <w:r>
        <w:rPr>
          <w:rFonts w:hint="cs"/>
          <w:noProof w:val="0"/>
          <w:rtl/>
        </w:rPr>
        <w:t xml:space="preserve"> (קושי בהליכה); גילה של המנוחה (בת 80);</w:t>
      </w:r>
      <w:r>
        <w:rPr>
          <w:noProof w:val="0"/>
          <w:rtl/>
        </w:rPr>
        <w:t xml:space="preserve"> והתלות </w:t>
      </w:r>
      <w:r>
        <w:rPr>
          <w:rFonts w:hint="cs"/>
          <w:noProof w:val="0"/>
          <w:rtl/>
        </w:rPr>
        <w:t xml:space="preserve">היחסית </w:t>
      </w:r>
      <w:r>
        <w:rPr>
          <w:noProof w:val="0"/>
          <w:rtl/>
        </w:rPr>
        <w:t xml:space="preserve">שנוצרה עקב </w:t>
      </w:r>
      <w:r>
        <w:rPr>
          <w:rFonts w:hint="cs"/>
          <w:noProof w:val="0"/>
          <w:rtl/>
        </w:rPr>
        <w:t>אלה</w:t>
      </w:r>
      <w:r>
        <w:rPr>
          <w:noProof w:val="0"/>
          <w:rtl/>
        </w:rPr>
        <w:t xml:space="preserve"> במבקש</w:t>
      </w:r>
      <w:r>
        <w:rPr>
          <w:rFonts w:hint="cs"/>
          <w:noProof w:val="0"/>
          <w:rtl/>
        </w:rPr>
        <w:t>ת (אך גם במתנגדת)</w:t>
      </w:r>
      <w:r>
        <w:rPr>
          <w:noProof w:val="0"/>
          <w:rtl/>
        </w:rPr>
        <w:t>, לא מצאתי כי הוכח שהצוואה נערכה תחת השפעה בלתי הוגנת שהפעיל</w:t>
      </w:r>
      <w:r>
        <w:rPr>
          <w:rFonts w:hint="cs"/>
          <w:noProof w:val="0"/>
          <w:rtl/>
        </w:rPr>
        <w:t>ה</w:t>
      </w:r>
      <w:r>
        <w:rPr>
          <w:noProof w:val="0"/>
          <w:rtl/>
        </w:rPr>
        <w:t xml:space="preserve"> המבקש</w:t>
      </w:r>
      <w:r>
        <w:rPr>
          <w:rFonts w:hint="cs"/>
          <w:noProof w:val="0"/>
          <w:rtl/>
        </w:rPr>
        <w:t>ת</w:t>
      </w:r>
      <w:r>
        <w:rPr>
          <w:noProof w:val="0"/>
          <w:rtl/>
        </w:rPr>
        <w:t xml:space="preserve"> על המנוחה. המנוחה הייתה עצמאית מבחינה הכרתית-שכלית וניהלה קשרים עם אחרים במידה כזו או אחרת</w:t>
      </w:r>
      <w:r>
        <w:rPr>
          <w:rFonts w:hint="cs"/>
          <w:noProof w:val="0"/>
          <w:rtl/>
        </w:rPr>
        <w:t>, ובכלל זה עם המתנגדת עצמה</w:t>
      </w:r>
      <w:r>
        <w:rPr>
          <w:noProof w:val="0"/>
          <w:rtl/>
        </w:rPr>
        <w:t xml:space="preserve">. מהעדויות התרשמתי כי </w:t>
      </w:r>
      <w:r>
        <w:rPr>
          <w:rFonts w:hint="cs"/>
          <w:noProof w:val="0"/>
          <w:rtl/>
        </w:rPr>
        <w:t xml:space="preserve">במועד עריכת הצוואה </w:t>
      </w:r>
      <w:r>
        <w:rPr>
          <w:noProof w:val="0"/>
          <w:rtl/>
        </w:rPr>
        <w:t>המנוחה הייתה אישה צלולה</w:t>
      </w:r>
      <w:r>
        <w:rPr>
          <w:rFonts w:hint="cs"/>
          <w:noProof w:val="0"/>
          <w:rtl/>
        </w:rPr>
        <w:t xml:space="preserve"> ודעתנית</w:t>
      </w:r>
      <w:r>
        <w:rPr>
          <w:noProof w:val="0"/>
          <w:rtl/>
        </w:rPr>
        <w:t xml:space="preserve"> ותוך כך ערכה את צוואתה, אשר שיקפה את רצונה. </w:t>
      </w:r>
    </w:p>
    <w:p w:rsidR="00021B73" w:rsidRPr="00605689" w:rsidRDefault="00021B73" w:rsidP="00605689">
      <w:pPr>
        <w:spacing w:after="240" w:line="360" w:lineRule="auto"/>
        <w:jc w:val="both"/>
        <w:rPr>
          <w:noProof w:val="0"/>
          <w:rtl/>
        </w:rPr>
      </w:pPr>
      <w:r>
        <w:rPr>
          <w:b/>
          <w:bCs/>
          <w:noProof w:val="0"/>
          <w:u w:val="single"/>
          <w:rtl/>
        </w:rPr>
        <w:t>המסקנה</w:t>
      </w:r>
      <w:r>
        <w:rPr>
          <w:noProof w:val="0"/>
          <w:rtl/>
        </w:rPr>
        <w:t xml:space="preserve"> – </w:t>
      </w:r>
      <w:r w:rsidRPr="003139E6">
        <w:rPr>
          <w:b/>
          <w:bCs/>
          <w:noProof w:val="0"/>
          <w:rtl/>
        </w:rPr>
        <w:t>לאחר בחינת הנסיבות תוך היעזרות במבחנים שנקבעו בעניין מרום ואף בשים לב להלכת החוטים השזורים ודוקטרינת "הזקן המוחלש"</w:t>
      </w:r>
      <w:r>
        <w:rPr>
          <w:noProof w:val="0"/>
          <w:rtl/>
        </w:rPr>
        <w:t xml:space="preserve"> – </w:t>
      </w:r>
      <w:r>
        <w:rPr>
          <w:b/>
          <w:bCs/>
          <w:noProof w:val="0"/>
          <w:rtl/>
        </w:rPr>
        <w:t>לא מצאתי כי הוכח שהצוואה נערכה על ידי המנוחה מחמת השפעה בלתי הוגנת מצד המבקש</w:t>
      </w:r>
      <w:r>
        <w:rPr>
          <w:rFonts w:hint="cs"/>
          <w:b/>
          <w:bCs/>
          <w:noProof w:val="0"/>
          <w:rtl/>
        </w:rPr>
        <w:t>ת</w:t>
      </w:r>
      <w:r>
        <w:rPr>
          <w:b/>
          <w:bCs/>
          <w:noProof w:val="0"/>
          <w:rtl/>
        </w:rPr>
        <w:t xml:space="preserve">. </w:t>
      </w:r>
    </w:p>
    <w:p w:rsidR="00605689" w:rsidRDefault="00605689" w:rsidP="00021B73">
      <w:pPr>
        <w:spacing w:after="120" w:line="360" w:lineRule="auto"/>
        <w:jc w:val="both"/>
        <w:rPr>
          <w:b/>
          <w:bCs/>
          <w:noProof w:val="0"/>
          <w:sz w:val="28"/>
          <w:szCs w:val="28"/>
          <w:u w:val="single"/>
          <w:rtl/>
        </w:rPr>
      </w:pPr>
    </w:p>
    <w:p w:rsidR="00605689" w:rsidRDefault="00605689" w:rsidP="00021B73">
      <w:pPr>
        <w:spacing w:after="120" w:line="360" w:lineRule="auto"/>
        <w:jc w:val="both"/>
        <w:rPr>
          <w:b/>
          <w:bCs/>
          <w:noProof w:val="0"/>
          <w:sz w:val="28"/>
          <w:szCs w:val="28"/>
          <w:u w:val="single"/>
          <w:rtl/>
        </w:rPr>
      </w:pPr>
    </w:p>
    <w:p w:rsidR="00605689" w:rsidRDefault="00605689" w:rsidP="00021B73">
      <w:pPr>
        <w:spacing w:after="120" w:line="360" w:lineRule="auto"/>
        <w:jc w:val="both"/>
        <w:rPr>
          <w:b/>
          <w:bCs/>
          <w:noProof w:val="0"/>
          <w:sz w:val="28"/>
          <w:szCs w:val="28"/>
          <w:u w:val="single"/>
          <w:rtl/>
        </w:rPr>
      </w:pPr>
    </w:p>
    <w:p w:rsidR="00021B73" w:rsidRDefault="00021B73" w:rsidP="00021B73">
      <w:pPr>
        <w:spacing w:after="120" w:line="360" w:lineRule="auto"/>
        <w:jc w:val="both"/>
        <w:rPr>
          <w:b/>
          <w:bCs/>
          <w:noProof w:val="0"/>
          <w:sz w:val="28"/>
          <w:szCs w:val="28"/>
          <w:u w:val="single"/>
          <w:rtl/>
        </w:rPr>
      </w:pPr>
      <w:r>
        <w:rPr>
          <w:b/>
          <w:bCs/>
          <w:noProof w:val="0"/>
          <w:sz w:val="28"/>
          <w:szCs w:val="28"/>
          <w:u w:val="single"/>
          <w:rtl/>
        </w:rPr>
        <w:t>סוף מסע</w:t>
      </w:r>
    </w:p>
    <w:p w:rsidR="00021B73" w:rsidRDefault="00021B73" w:rsidP="00021B73">
      <w:pPr>
        <w:numPr>
          <w:ilvl w:val="0"/>
          <w:numId w:val="7"/>
        </w:numPr>
        <w:spacing w:after="240" w:line="360" w:lineRule="auto"/>
        <w:ind w:left="0" w:firstLine="0"/>
        <w:jc w:val="both"/>
        <w:rPr>
          <w:noProof w:val="0"/>
        </w:rPr>
      </w:pPr>
      <w:r>
        <mc:AlternateContent>
          <mc:Choice Requires="wps">
            <w:drawing>
              <wp:anchor distT="0" distB="0" distL="114300" distR="114300" simplePos="0" relativeHeight="251655168" behindDoc="0" locked="0" layoutInCell="1" allowOverlap="1" wp14:anchorId="4D203EAA" wp14:editId="6910E582">
                <wp:simplePos x="0" y="0"/>
                <wp:positionH relativeFrom="margin">
                  <wp:posOffset>27413</wp:posOffset>
                </wp:positionH>
                <wp:positionV relativeFrom="paragraph">
                  <wp:posOffset>716125</wp:posOffset>
                </wp:positionV>
                <wp:extent cx="5448300" cy="1676400"/>
                <wp:effectExtent l="0" t="0" r="19050" b="19050"/>
                <wp:wrapNone/>
                <wp:docPr id="27" name="מלבן מעוגל 27"/>
                <wp:cNvGraphicFramePr/>
                <a:graphic xmlns:a="http://schemas.openxmlformats.org/drawingml/2006/main">
                  <a:graphicData uri="http://schemas.microsoft.com/office/word/2010/wordprocessingShape">
                    <wps:wsp>
                      <wps:cNvSpPr/>
                      <wps:spPr>
                        <a:xfrm>
                          <a:off x="0" y="0"/>
                          <a:ext cx="5448300" cy="1676400"/>
                        </a:xfrm>
                        <a:prstGeom prst="roundRect">
                          <a:avLst/>
                        </a:prstGeom>
                        <a:solidFill>
                          <a:schemeClr val="tx2">
                            <a:alpha val="30000"/>
                          </a:schemeClr>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FBC691" id="מלבן מעוגל 27" o:spid="_x0000_s1026" style="position:absolute;left:0;text-align:left;margin-left:2.15pt;margin-top:56.4pt;width:429pt;height:132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" fillcolor="#1f497d [3215]" strokecolor="#385d8a" strokeweight="2pt">
                <v:fill opacity="19789f"/>
                <w10:wrap anchorx="margin"/>
              </v:roundrect>
            </w:pict>
          </mc:Fallback>
        </mc:AlternateContent>
      </w:r>
      <w:r>
        <w:rPr>
          <w:noProof w:val="0"/>
          <w:rtl/>
        </w:rPr>
        <w:t xml:space="preserve">בשים לב לכלל הראיות והעדויות שהונחו לפניי בהליך זה, </w:t>
      </w:r>
      <w:r>
        <w:rPr>
          <w:b/>
          <w:bCs/>
          <w:noProof w:val="0"/>
          <w:rtl/>
        </w:rPr>
        <w:t>נחה דעתי כי קיומה של הצוואה יביא לכיבוד רצונה האמיתי של המנוחה</w:t>
      </w:r>
      <w:r>
        <w:rPr>
          <w:rFonts w:hint="cs"/>
          <w:noProof w:val="0"/>
          <w:rtl/>
        </w:rPr>
        <w:t xml:space="preserve">. </w:t>
      </w:r>
      <w:r>
        <w:rPr>
          <w:noProof w:val="0"/>
          <w:rtl/>
        </w:rPr>
        <w:t xml:space="preserve">המתנגדת לא עמדה בנטל המוטל על כתפיה להוכיח את טענות התנגדותה. </w:t>
      </w:r>
    </w:p>
    <w:p w:rsidR="00021B73" w:rsidRDefault="00021B73" w:rsidP="00021B73">
      <w:pPr>
        <w:numPr>
          <w:ilvl w:val="0"/>
          <w:numId w:val="7"/>
        </w:numPr>
        <w:spacing w:after="120" w:line="360" w:lineRule="auto"/>
        <w:ind w:left="0" w:firstLine="0"/>
        <w:jc w:val="both"/>
        <w:rPr>
          <w:b/>
          <w:bCs/>
          <w:noProof w:val="0"/>
          <w:rtl/>
        </w:rPr>
      </w:pPr>
      <w:r>
        <w:rPr>
          <w:noProof w:val="0"/>
          <w:rtl/>
        </w:rPr>
        <w:t xml:space="preserve"> </w:t>
      </w:r>
      <w:r>
        <w:rPr>
          <w:b/>
          <w:bCs/>
          <w:noProof w:val="0"/>
          <w:rtl/>
        </w:rPr>
        <w:t>התוצאה – לנוכח האמור אני קובע</w:t>
      </w:r>
      <w:r>
        <w:rPr>
          <w:rFonts w:hint="cs"/>
          <w:b/>
          <w:bCs/>
          <w:noProof w:val="0"/>
          <w:rtl/>
        </w:rPr>
        <w:t>ת</w:t>
      </w:r>
      <w:r>
        <w:rPr>
          <w:b/>
          <w:bCs/>
          <w:noProof w:val="0"/>
          <w:rtl/>
        </w:rPr>
        <w:t xml:space="preserve"> כדלקמן:</w:t>
      </w:r>
      <w:r>
        <w:rPr>
          <w:rtl/>
        </w:rPr>
        <w:t xml:space="preserve"> </w:t>
      </w:r>
    </w:p>
    <w:p w:rsidR="00021B73" w:rsidRDefault="00021B73" w:rsidP="00021B73">
      <w:pPr>
        <w:pStyle w:val="a9"/>
        <w:numPr>
          <w:ilvl w:val="0"/>
          <w:numId w:val="9"/>
        </w:numPr>
        <w:spacing w:after="120" w:line="360" w:lineRule="auto"/>
        <w:contextualSpacing w:val="0"/>
        <w:jc w:val="both"/>
        <w:rPr>
          <w:b/>
          <w:bCs/>
          <w:noProof w:val="0"/>
          <w:rtl/>
        </w:rPr>
      </w:pPr>
      <w:r>
        <w:rPr>
          <w:b/>
          <w:bCs/>
          <w:noProof w:val="0"/>
          <w:rtl/>
        </w:rPr>
        <w:t>ההתנגדות לצוואה נדחית;</w:t>
      </w:r>
    </w:p>
    <w:p w:rsidR="00021B73" w:rsidRDefault="00021B73" w:rsidP="00021B73">
      <w:pPr>
        <w:pStyle w:val="a9"/>
        <w:numPr>
          <w:ilvl w:val="0"/>
          <w:numId w:val="9"/>
        </w:numPr>
        <w:spacing w:after="120" w:line="360" w:lineRule="auto"/>
        <w:contextualSpacing w:val="0"/>
        <w:jc w:val="both"/>
        <w:rPr>
          <w:b/>
          <w:bCs/>
          <w:noProof w:val="0"/>
        </w:rPr>
      </w:pPr>
      <w:r>
        <w:rPr>
          <w:b/>
          <w:bCs/>
          <w:noProof w:val="0"/>
          <w:rtl/>
        </w:rPr>
        <w:t xml:space="preserve">ניתן בזה צו לקיום צוואת המנוחה מיום </w:t>
      </w:r>
      <w:r>
        <w:rPr>
          <w:rFonts w:hint="cs"/>
          <w:b/>
          <w:bCs/>
          <w:noProof w:val="0"/>
          <w:rtl/>
        </w:rPr>
        <w:t>22.10.2013</w:t>
      </w:r>
      <w:r>
        <w:rPr>
          <w:b/>
          <w:bCs/>
          <w:noProof w:val="0"/>
          <w:rtl/>
        </w:rPr>
        <w:t xml:space="preserve">; </w:t>
      </w:r>
    </w:p>
    <w:p w:rsidR="00021B73" w:rsidRDefault="00021B73" w:rsidP="00021B73">
      <w:pPr>
        <w:pStyle w:val="a9"/>
        <w:numPr>
          <w:ilvl w:val="0"/>
          <w:numId w:val="9"/>
        </w:numPr>
        <w:spacing w:after="120" w:line="360" w:lineRule="auto"/>
        <w:contextualSpacing w:val="0"/>
        <w:jc w:val="both"/>
        <w:rPr>
          <w:b/>
          <w:bCs/>
          <w:noProof w:val="0"/>
        </w:rPr>
      </w:pPr>
      <w:r>
        <w:rPr>
          <w:b/>
          <w:bCs/>
          <w:noProof w:val="0"/>
          <w:rtl/>
        </w:rPr>
        <w:t>התובענה לצו ירושה אחר המנוחה נדחית</w:t>
      </w:r>
      <w:r>
        <w:rPr>
          <w:rFonts w:hint="cs"/>
          <w:b/>
          <w:bCs/>
          <w:noProof w:val="0"/>
          <w:rtl/>
        </w:rPr>
        <w:t>;</w:t>
      </w:r>
    </w:p>
    <w:p w:rsidR="00021B73" w:rsidRDefault="00021B73" w:rsidP="00021B73">
      <w:pPr>
        <w:pStyle w:val="a9"/>
        <w:numPr>
          <w:ilvl w:val="0"/>
          <w:numId w:val="9"/>
        </w:numPr>
        <w:spacing w:after="240" w:line="360" w:lineRule="auto"/>
        <w:ind w:left="1077" w:hanging="357"/>
        <w:contextualSpacing w:val="0"/>
        <w:jc w:val="both"/>
        <w:rPr>
          <w:b/>
          <w:bCs/>
          <w:noProof w:val="0"/>
          <w:rtl/>
        </w:rPr>
      </w:pPr>
      <w:r>
        <w:rPr>
          <w:rFonts w:hint="cs"/>
          <w:b/>
          <w:bCs/>
          <w:noProof w:val="0"/>
          <w:rtl/>
        </w:rPr>
        <w:t>ההתנגדות לבקשה למתן צו ירושה מתקבלת.</w:t>
      </w:r>
    </w:p>
    <w:p w:rsidR="00021B73" w:rsidRDefault="00021B73" w:rsidP="00021B73">
      <w:pPr>
        <w:pStyle w:val="a9"/>
        <w:numPr>
          <w:ilvl w:val="0"/>
          <w:numId w:val="7"/>
        </w:numPr>
        <w:spacing w:after="240" w:line="360" w:lineRule="auto"/>
        <w:ind w:left="0" w:firstLine="0"/>
        <w:jc w:val="both"/>
        <w:rPr>
          <w:noProof w:val="0"/>
        </w:rPr>
      </w:pPr>
      <w:r>
        <w:rPr>
          <w:noProof w:val="0"/>
          <w:rtl/>
        </w:rPr>
        <w:t>המבקש</w:t>
      </w:r>
      <w:r>
        <w:rPr>
          <w:rFonts w:hint="cs"/>
          <w:noProof w:val="0"/>
          <w:rtl/>
        </w:rPr>
        <w:t>ת</w:t>
      </w:r>
      <w:r>
        <w:rPr>
          <w:noProof w:val="0"/>
          <w:rtl/>
        </w:rPr>
        <w:t xml:space="preserve"> </w:t>
      </w:r>
      <w:r>
        <w:rPr>
          <w:rFonts w:hint="cs"/>
          <w:noProof w:val="0"/>
          <w:rtl/>
        </w:rPr>
        <w:t>ת</w:t>
      </w:r>
      <w:r>
        <w:rPr>
          <w:noProof w:val="0"/>
          <w:rtl/>
        </w:rPr>
        <w:t>גיש</w:t>
      </w:r>
      <w:r>
        <w:rPr>
          <w:rFonts w:hint="cs"/>
          <w:noProof w:val="0"/>
          <w:rtl/>
        </w:rPr>
        <w:t xml:space="preserve"> בתוך 7 ימים</w:t>
      </w:r>
      <w:r>
        <w:rPr>
          <w:noProof w:val="0"/>
          <w:rtl/>
        </w:rPr>
        <w:t xml:space="preserve"> פסיקתה מתאימה לחתימ</w:t>
      </w:r>
      <w:r>
        <w:rPr>
          <w:rFonts w:hint="cs"/>
          <w:noProof w:val="0"/>
          <w:rtl/>
        </w:rPr>
        <w:t xml:space="preserve">ה לנוסח צו קיום צוואה ערוך לפי טופס 5 לתקנות הירושה, התשנ"ח-1998. </w:t>
      </w:r>
    </w:p>
    <w:p w:rsidR="00021B73" w:rsidRDefault="00021B73" w:rsidP="00021B73">
      <w:pPr>
        <w:spacing w:line="360" w:lineRule="auto"/>
        <w:jc w:val="both"/>
        <w:rPr>
          <w:rFonts w:ascii="David" w:hAnsi="David"/>
          <w:b/>
          <w:bCs/>
          <w:sz w:val="28"/>
          <w:szCs w:val="28"/>
          <w:u w:val="single"/>
          <w:rtl/>
        </w:rPr>
      </w:pPr>
      <w:r>
        <w:rPr>
          <w:rFonts w:ascii="David" w:hAnsi="David"/>
          <w:b/>
          <w:bCs/>
          <w:sz w:val="28"/>
          <w:szCs w:val="28"/>
          <w:u w:val="single"/>
          <w:rtl/>
        </w:rPr>
        <w:t>הוצאות משפט</w:t>
      </w:r>
    </w:p>
    <w:p w:rsidR="00021B73" w:rsidRDefault="00021B73" w:rsidP="00021B73">
      <w:pPr>
        <w:pStyle w:val="a9"/>
        <w:numPr>
          <w:ilvl w:val="0"/>
          <w:numId w:val="7"/>
        </w:numPr>
        <w:spacing w:before="120" w:after="200" w:line="360" w:lineRule="auto"/>
        <w:ind w:left="0" w:firstLine="0"/>
        <w:jc w:val="both"/>
        <w:rPr>
          <w:rFonts w:ascii="David" w:hAnsi="David"/>
          <w:noProof w:val="0"/>
          <w:rtl/>
        </w:rPr>
      </w:pPr>
      <w:r>
        <w:rPr>
          <w:rFonts w:ascii="David" w:hAnsi="David"/>
          <w:noProof w:val="0"/>
          <w:rtl/>
        </w:rPr>
        <w:t xml:space="preserve">משתמה ההכרעה בתובענות – יש להידרש לשאלת ההוצאות. </w:t>
      </w:r>
      <w:r>
        <w:rPr>
          <w:rFonts w:ascii="David" w:hAnsi="David"/>
          <w:b/>
          <w:bCs/>
          <w:noProof w:val="0"/>
          <w:rtl/>
        </w:rPr>
        <w:t>המתווה הנורמטיבי</w:t>
      </w:r>
      <w:r>
        <w:rPr>
          <w:rFonts w:ascii="David" w:hAnsi="David"/>
          <w:noProof w:val="0"/>
          <w:rtl/>
        </w:rPr>
        <w:t xml:space="preserve"> </w:t>
      </w:r>
      <w:r>
        <w:rPr>
          <w:rFonts w:ascii="David" w:hAnsi="David"/>
          <w:noProof w:val="0"/>
          <w:color w:val="000000" w:themeColor="text1"/>
          <w:rtl/>
        </w:rPr>
        <w:t xml:space="preserve">– הבסיס לפסיקת הוצאות קבוע בתקנות </w:t>
      </w:r>
      <w:r>
        <w:rPr>
          <w:rFonts w:ascii="David" w:hAnsi="David" w:hint="cs"/>
          <w:noProof w:val="0"/>
          <w:color w:val="000000" w:themeColor="text1"/>
          <w:rtl/>
        </w:rPr>
        <w:t xml:space="preserve">סדר הדין האזרחי, התשע"ט-2018 (להלן: </w:t>
      </w:r>
      <w:r w:rsidRPr="00C13E6F">
        <w:rPr>
          <w:rFonts w:ascii="David" w:hAnsi="David" w:hint="cs"/>
          <w:b/>
          <w:bCs/>
          <w:noProof w:val="0"/>
          <w:color w:val="000000" w:themeColor="text1"/>
          <w:rtl/>
        </w:rPr>
        <w:t>"התקנות"</w:t>
      </w:r>
      <w:r>
        <w:rPr>
          <w:rFonts w:ascii="David" w:hAnsi="David" w:hint="cs"/>
          <w:noProof w:val="0"/>
          <w:color w:val="000000" w:themeColor="text1"/>
          <w:rtl/>
        </w:rPr>
        <w:t xml:space="preserve">) </w:t>
      </w:r>
      <w:r>
        <w:rPr>
          <w:rFonts w:ascii="David" w:hAnsi="David"/>
          <w:noProof w:val="0"/>
          <w:color w:val="000000" w:themeColor="text1"/>
          <w:rtl/>
        </w:rPr>
        <w:t xml:space="preserve">ובפסיקה כפי שנתגבשה במרוצת השנים. כך למשל בע"א 136/92 </w:t>
      </w:r>
      <w:r>
        <w:rPr>
          <w:rFonts w:ascii="David" w:hAnsi="David"/>
          <w:b/>
          <w:bCs/>
          <w:noProof w:val="0"/>
          <w:color w:val="000000" w:themeColor="text1"/>
          <w:rtl/>
        </w:rPr>
        <w:t>ביניש-עדיאל נ' דניה סיבוס חברה לבנין בע"מ</w:t>
      </w:r>
      <w:r>
        <w:rPr>
          <w:rFonts w:ascii="David" w:hAnsi="David"/>
          <w:noProof w:val="0"/>
          <w:color w:val="000000" w:themeColor="text1"/>
          <w:rtl/>
        </w:rPr>
        <w:t>, פ"ד מז (5) 114, 126-125 (1993)</w:t>
      </w:r>
      <w:r>
        <w:rPr>
          <w:rFonts w:ascii="David" w:hAnsi="David" w:hint="cs"/>
          <w:noProof w:val="0"/>
          <w:color w:val="000000" w:themeColor="text1"/>
          <w:rtl/>
        </w:rPr>
        <w:t>,</w:t>
      </w:r>
      <w:r>
        <w:rPr>
          <w:rFonts w:ascii="David" w:hAnsi="David"/>
          <w:noProof w:val="0"/>
          <w:color w:val="000000" w:themeColor="text1"/>
          <w:rtl/>
        </w:rPr>
        <w:t xml:space="preserve"> נקבע שאופן חישובו של שכר הטרחה הראוי, הוא תלוי משתנים רבים ואינו בגדר רשימה סגורה. בבג"צ 891/05 </w:t>
      </w:r>
      <w:r>
        <w:rPr>
          <w:rFonts w:ascii="David" w:hAnsi="David"/>
          <w:b/>
          <w:bCs/>
          <w:noProof w:val="0"/>
          <w:color w:val="000000" w:themeColor="text1"/>
          <w:rtl/>
        </w:rPr>
        <w:t xml:space="preserve">תנובה נ' הרשות </w:t>
      </w:r>
      <w:r>
        <w:rPr>
          <w:rFonts w:ascii="David" w:hAnsi="David"/>
          <w:b/>
          <w:bCs/>
          <w:noProof w:val="0"/>
          <w:rtl/>
        </w:rPr>
        <w:t>המוסמכת</w:t>
      </w:r>
      <w:r>
        <w:rPr>
          <w:rFonts w:ascii="David" w:hAnsi="David"/>
          <w:noProof w:val="0"/>
          <w:rtl/>
        </w:rPr>
        <w:t xml:space="preserve"> (30.6.2005), נקבע כי לאחר ניתוח של תכלית חיוב בעל דין בהוצאות רעהו, והתייחסות למצב בארצות שונות, אמת המידה הנכונה לחיוב שכר טרחת עורך דין הוא, כי ההוצאות צריכות להיות סבירות, הכרחיות ומידתיות. במסגרת הקווים המנחים לשימוש באותן אמות מידה נקבע, כי התעריף המינימאלי אינו משמש כאמת מידה אלא רק רף תחתון; יש להתחשב בהתנהגות הצדדים ובדרך שבה ניהלו את ההליך בסעד המבוקש או הסכום השנוי במחלוקת ובמורכבות התיק והזמן שהושקע בהכנתו; השיקול האחרון המוזכר הוא חשיבות העניין עבור בעלי הדין, לרבות האינטרס הציבורי (רע"א 1975/08 </w:t>
      </w:r>
      <w:r>
        <w:rPr>
          <w:rFonts w:ascii="David" w:hAnsi="David"/>
          <w:b/>
          <w:bCs/>
          <w:noProof w:val="0"/>
          <w:rtl/>
        </w:rPr>
        <w:t>על רד הנדסת מעליות בע"מ נ' נציגות הבית המשותף</w:t>
      </w:r>
      <w:r>
        <w:rPr>
          <w:rFonts w:ascii="David" w:hAnsi="David"/>
          <w:noProof w:val="0"/>
          <w:rtl/>
        </w:rPr>
        <w:t xml:space="preserve"> (9.4.2008)).</w:t>
      </w:r>
    </w:p>
    <w:p w:rsidR="00021B73" w:rsidRDefault="00021B73" w:rsidP="00021B73">
      <w:pPr>
        <w:spacing w:after="120" w:line="360" w:lineRule="auto"/>
        <w:ind w:left="-57" w:firstLine="777"/>
        <w:jc w:val="both"/>
        <w:rPr>
          <w:rFonts w:ascii="David" w:hAnsi="David"/>
          <w:noProof w:val="0"/>
          <w:sz w:val="16"/>
          <w:szCs w:val="16"/>
        </w:rPr>
      </w:pPr>
      <w:r>
        <w:rPr>
          <w:rFonts w:ascii="David" w:hAnsi="David"/>
          <w:noProof w:val="0"/>
          <w:rtl/>
        </w:rPr>
        <w:t>תקנה 151 לתקנות קובעת את תכלית ההוצאות:</w:t>
      </w:r>
    </w:p>
    <w:p w:rsidR="00021B73" w:rsidRDefault="00021B73" w:rsidP="00021B73">
      <w:pPr>
        <w:tabs>
          <w:tab w:val="left" w:pos="7272"/>
          <w:tab w:val="left" w:pos="7371"/>
        </w:tabs>
        <w:spacing w:after="160"/>
        <w:ind w:left="1076" w:right="1134"/>
        <w:contextualSpacing/>
        <w:jc w:val="both"/>
        <w:rPr>
          <w:rFonts w:ascii="David" w:hAnsi="David"/>
          <w:b/>
          <w:bCs/>
          <w:noProof w:val="0"/>
          <w:rtl/>
        </w:rPr>
      </w:pPr>
      <w:r>
        <w:rPr>
          <w:rFonts w:ascii="David" w:hAnsi="David"/>
          <w:b/>
          <w:bCs/>
          <w:noProof w:val="0"/>
          <w:rtl/>
        </w:rPr>
        <w:t>" (א) חיוב בעל דין בתשלום הוצאות נועד לשפות את בעל הדין שכנגד על הוצאותיו בהליך בהתחשב בתוצאותיו, במשאבים שנדרשו לניהולו ובהתנהלות בעלי הדין.</w:t>
      </w:r>
    </w:p>
    <w:p w:rsidR="00021B73" w:rsidRDefault="00021B73" w:rsidP="00021B73">
      <w:pPr>
        <w:tabs>
          <w:tab w:val="left" w:pos="7272"/>
          <w:tab w:val="left" w:pos="7371"/>
        </w:tabs>
        <w:spacing w:after="160"/>
        <w:ind w:left="1076" w:right="1134"/>
        <w:contextualSpacing/>
        <w:jc w:val="both"/>
        <w:rPr>
          <w:rFonts w:ascii="David" w:hAnsi="David"/>
          <w:b/>
          <w:bCs/>
          <w:noProof w:val="0"/>
          <w:rtl/>
        </w:rPr>
      </w:pPr>
      <w:r>
        <w:rPr>
          <w:rFonts w:ascii="David" w:hAnsi="David"/>
          <w:b/>
          <w:bCs/>
          <w:noProof w:val="0"/>
          <w:rtl/>
        </w:rPr>
        <w:t xml:space="preserve">  (ב)החלטת בית המשפט בעניין פסיקת ההוצאות ושיעורן תבטא את האיזון הראוי שבין הבטחת זכות הגישה לערכאות, הגנה על זכות הקניין של הפרט ושמירה על שוויון בין בעלי הדין.</w:t>
      </w:r>
    </w:p>
    <w:p w:rsidR="00021B73" w:rsidRPr="00C13E6F" w:rsidRDefault="00021B73" w:rsidP="00021B73">
      <w:pPr>
        <w:tabs>
          <w:tab w:val="left" w:pos="7272"/>
          <w:tab w:val="left" w:pos="7371"/>
        </w:tabs>
        <w:spacing w:after="240"/>
        <w:ind w:left="1077" w:right="1134"/>
        <w:jc w:val="both"/>
        <w:rPr>
          <w:rFonts w:ascii="David" w:hAnsi="David"/>
          <w:b/>
          <w:bCs/>
          <w:noProof w:val="0"/>
          <w:rtl/>
        </w:rPr>
      </w:pPr>
      <w:r>
        <w:rPr>
          <w:rFonts w:ascii="David" w:hAnsi="David"/>
          <w:b/>
          <w:bCs/>
          <w:noProof w:val="0"/>
          <w:rtl/>
        </w:rPr>
        <w:t>(ג)סבר בית המשפט שבעל דין עשה שימוש לרעה בהליכי משפט או לא מילא אחר תקנות אלה, רשאי הוא לחייבו בהוצאות לטובת הנפגע או לטובת אוצר המדינה ובנסיבות מיוחדות אף את בא כוחו."</w:t>
      </w:r>
    </w:p>
    <w:p w:rsidR="00021B73" w:rsidRDefault="00021B73" w:rsidP="00021B73">
      <w:pPr>
        <w:spacing w:before="120" w:after="120" w:line="360" w:lineRule="auto"/>
        <w:ind w:left="-57" w:firstLine="777"/>
        <w:jc w:val="both"/>
        <w:rPr>
          <w:rFonts w:ascii="David" w:hAnsi="David"/>
          <w:noProof w:val="0"/>
          <w:rtl/>
        </w:rPr>
      </w:pPr>
      <w:bookmarkStart w:id="2" w:name="Seif6"/>
      <w:r>
        <w:rPr>
          <w:rFonts w:ascii="David" w:hAnsi="David"/>
          <w:noProof w:val="0"/>
          <w:color w:val="000000"/>
          <w:rtl/>
        </w:rPr>
        <w:t>תקנה </w:t>
      </w:r>
      <w:bookmarkEnd w:id="2"/>
      <w:r>
        <w:rPr>
          <w:rFonts w:ascii="David" w:hAnsi="David"/>
          <w:noProof w:val="0"/>
          <w:color w:val="000000"/>
        </w:rPr>
        <w:t xml:space="preserve"> 153 </w:t>
      </w:r>
      <w:r>
        <w:rPr>
          <w:rFonts w:ascii="David" w:hAnsi="David"/>
          <w:noProof w:val="0"/>
          <w:color w:val="000000"/>
          <w:rtl/>
        </w:rPr>
        <w:t>(ג) ל</w:t>
      </w:r>
      <w:bookmarkStart w:id="3" w:name="Seif3"/>
      <w:r>
        <w:rPr>
          <w:rFonts w:ascii="David" w:hAnsi="David"/>
          <w:noProof w:val="0"/>
          <w:color w:val="000000"/>
          <w:rtl/>
        </w:rPr>
        <w:t>תקנות קובעת את שיעור ההוצאות והשיקולים השונים שעל בית המשפט להתחשב בהם</w:t>
      </w:r>
      <w:bookmarkEnd w:id="3"/>
      <w:r>
        <w:rPr>
          <w:rFonts w:ascii="David" w:hAnsi="David"/>
          <w:noProof w:val="0"/>
          <w:color w:val="000000"/>
          <w:rtl/>
        </w:rPr>
        <w:t>:</w:t>
      </w:r>
    </w:p>
    <w:p w:rsidR="00021B73" w:rsidRDefault="00021B73" w:rsidP="00021B73">
      <w:pPr>
        <w:spacing w:after="240"/>
        <w:ind w:left="1134" w:right="1134"/>
        <w:jc w:val="both"/>
        <w:rPr>
          <w:rFonts w:ascii="Arial" w:hAnsi="Arial"/>
          <w:noProof w:val="0"/>
          <w:rtl/>
        </w:rPr>
      </w:pPr>
      <w:r>
        <w:rPr>
          <w:rFonts w:ascii="David" w:hAnsi="David"/>
          <w:b/>
          <w:bCs/>
          <w:noProof w:val="0"/>
          <w:rtl/>
        </w:rPr>
        <w:t>"בקביעת שיעור ההוצאות יתחשב בית המשפט, בין השאר, בשווי הסעד שנפסק וביחס שבינו לבין הסכום שנתבע, בדרך שבה ניהלו בעלי הדין את הדיון, במורכבות ההליך, בהשקעת המשאבים בהכנתו ובניהולו ובסכום ההוצאות שהתבקש."</w:t>
      </w:r>
    </w:p>
    <w:p w:rsidR="00021B73" w:rsidRDefault="00021B73" w:rsidP="00021B73">
      <w:pPr>
        <w:pStyle w:val="a9"/>
        <w:numPr>
          <w:ilvl w:val="0"/>
          <w:numId w:val="7"/>
        </w:numPr>
        <w:spacing w:after="240" w:line="360" w:lineRule="auto"/>
        <w:ind w:left="0" w:firstLine="0"/>
        <w:contextualSpacing w:val="0"/>
        <w:jc w:val="both"/>
        <w:rPr>
          <w:rFonts w:ascii="Arial" w:hAnsi="Arial"/>
          <w:noProof w:val="0"/>
          <w:rtl/>
        </w:rPr>
      </w:pPr>
      <w:r>
        <w:rPr>
          <w:rFonts w:ascii="Arial" w:hAnsi="Arial"/>
          <w:noProof w:val="0"/>
          <w:rtl/>
        </w:rPr>
        <w:t xml:space="preserve">בנסיבות אלה ולאחר ששקלתי את כל השיקולים הרלוונטיים </w:t>
      </w:r>
      <w:r>
        <w:rPr>
          <w:rFonts w:ascii="Arial" w:hAnsi="Arial" w:hint="cs"/>
          <w:noProof w:val="0"/>
          <w:rtl/>
        </w:rPr>
        <w:t>המפורטים</w:t>
      </w:r>
      <w:r>
        <w:rPr>
          <w:rFonts w:ascii="Arial" w:hAnsi="Arial"/>
          <w:noProof w:val="0"/>
          <w:rtl/>
        </w:rPr>
        <w:t xml:space="preserve"> לעיל</w:t>
      </w:r>
      <w:r>
        <w:rPr>
          <w:rFonts w:ascii="Arial" w:hAnsi="Arial" w:hint="cs"/>
          <w:noProof w:val="0"/>
          <w:rtl/>
        </w:rPr>
        <w:t xml:space="preserve"> </w:t>
      </w:r>
      <w:r>
        <w:rPr>
          <w:rFonts w:ascii="Arial" w:hAnsi="Arial"/>
          <w:noProof w:val="0"/>
          <w:rtl/>
        </w:rPr>
        <w:t>–</w:t>
      </w:r>
      <w:r>
        <w:rPr>
          <w:rFonts w:ascii="Arial" w:hAnsi="Arial" w:hint="cs"/>
          <w:noProof w:val="0"/>
          <w:rtl/>
        </w:rPr>
        <w:t xml:space="preserve"> </w:t>
      </w:r>
      <w:r>
        <w:rPr>
          <w:rFonts w:ascii="Arial" w:hAnsi="Arial"/>
          <w:noProof w:val="0"/>
          <w:rtl/>
        </w:rPr>
        <w:t>מהות ההליך והיקפו, היקפם של כתבי בי-דין והבקשות בתיקים, התנהלות הצדדים לאורך ניהול ההליך, התוצאות אליהן הגעתי בתיקים שלפניי</w:t>
      </w:r>
      <w:r>
        <w:rPr>
          <w:rFonts w:ascii="Arial" w:hAnsi="Arial" w:hint="cs"/>
          <w:noProof w:val="0"/>
          <w:rtl/>
        </w:rPr>
        <w:t xml:space="preserve"> </w:t>
      </w:r>
      <w:r>
        <w:rPr>
          <w:rFonts w:ascii="Arial" w:hAnsi="Arial"/>
          <w:noProof w:val="0"/>
          <w:rtl/>
        </w:rPr>
        <w:t>–</w:t>
      </w:r>
      <w:r>
        <w:rPr>
          <w:rFonts w:ascii="Arial" w:hAnsi="Arial" w:hint="cs"/>
          <w:noProof w:val="0"/>
          <w:rtl/>
        </w:rPr>
        <w:t xml:space="preserve"> אני מחייבת את המתנגדת בהוצאות המבקשת בסך 25,000 ₪, אשר ישולמו בתוך 30 ימים. כל עיכוב בתשלום סכום זה יגרור חיוב תשלומי הצמדה וריבית כדין.</w:t>
      </w:r>
    </w:p>
    <w:p w:rsidR="00021B73" w:rsidRPr="00846671"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noProof w:val="0"/>
          <w:rtl/>
        </w:rPr>
        <w:t>זכות ערעור לבית המשפט המחוזי בתל אביב-יפו בתוך 45 יום ממועד המצאת פסק הדין.</w:t>
      </w:r>
    </w:p>
    <w:p w:rsidR="00021B73" w:rsidRPr="00846671" w:rsidRDefault="00021B73" w:rsidP="00021B73">
      <w:pPr>
        <w:pStyle w:val="a9"/>
        <w:numPr>
          <w:ilvl w:val="0"/>
          <w:numId w:val="7"/>
        </w:numPr>
        <w:spacing w:after="240" w:line="360" w:lineRule="auto"/>
        <w:ind w:left="0" w:firstLine="0"/>
        <w:contextualSpacing w:val="0"/>
        <w:jc w:val="both"/>
        <w:rPr>
          <w:rFonts w:ascii="Arial" w:hAnsi="Arial"/>
          <w:noProof w:val="0"/>
        </w:rPr>
      </w:pPr>
      <w:r>
        <w:rPr>
          <w:rFonts w:ascii="Arial" w:hAnsi="Arial"/>
          <w:noProof w:val="0"/>
          <w:rtl/>
        </w:rPr>
        <w:t>פסק הדין מותר לפרסום בהשמטת פרטים מזהים.</w:t>
      </w:r>
    </w:p>
    <w:p w:rsidR="00021B73" w:rsidRDefault="00021B73" w:rsidP="00021B73">
      <w:pPr>
        <w:pStyle w:val="a9"/>
        <w:numPr>
          <w:ilvl w:val="0"/>
          <w:numId w:val="7"/>
        </w:numPr>
        <w:spacing w:line="360" w:lineRule="auto"/>
        <w:ind w:left="0" w:firstLine="0"/>
        <w:jc w:val="both"/>
        <w:rPr>
          <w:rFonts w:ascii="Arial" w:hAnsi="Arial"/>
          <w:noProof w:val="0"/>
          <w:rtl/>
        </w:rPr>
      </w:pPr>
      <w:r>
        <w:rPr>
          <w:rFonts w:ascii="Arial" w:hAnsi="Arial"/>
          <w:noProof w:val="0"/>
          <w:rtl/>
        </w:rPr>
        <w:t>המזכירות תמציא את פסק הדין לצדדים ותסגור את התיקים שבכותרת.</w:t>
      </w:r>
    </w:p>
    <w:p w:rsidR="00021B73" w:rsidRDefault="00021B73" w:rsidP="00021B73">
      <w:pPr>
        <w:spacing w:line="360" w:lineRule="auto"/>
        <w:jc w:val="both"/>
        <w:rPr>
          <w:rFonts w:ascii="Arial" w:hAnsi="Arial"/>
          <w:noProof w:val="0"/>
          <w:rtl/>
        </w:rPr>
      </w:pPr>
    </w:p>
    <w:p w:rsidR="00021B73" w:rsidRDefault="00021B73" w:rsidP="00021B73">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1784405537"/>
          <w:text w:multiLine="1"/>
        </w:sdtPr>
        <w:sdtEndPr/>
        <w:sdtContent>
          <w:r>
            <w:rPr>
              <w:rFonts w:ascii="Arial" w:hAnsi="Arial"/>
              <w:noProof w:val="0"/>
              <w:rtl/>
            </w:rPr>
            <w:t>י"ט תמוז תשפ"ד</w:t>
          </w:r>
        </w:sdtContent>
      </w:sdt>
      <w:r>
        <w:rPr>
          <w:rFonts w:ascii="Arial" w:hAnsi="Arial"/>
          <w:noProof w:val="0"/>
          <w:rtl/>
        </w:rPr>
        <w:t xml:space="preserve">, </w:t>
      </w:r>
      <w:sdt>
        <w:sdtPr>
          <w:rPr>
            <w:rtl/>
          </w:rPr>
          <w:alias w:val="1456"/>
          <w:tag w:val="1456"/>
          <w:id w:val="-1133865600"/>
          <w:text w:multiLine="1"/>
        </w:sdtPr>
        <w:sdtEndPr/>
        <w:sdtContent>
          <w:r>
            <w:rPr>
              <w:rFonts w:ascii="Arial" w:hAnsi="Arial"/>
              <w:noProof w:val="0"/>
              <w:rtl/>
            </w:rPr>
            <w:t>25 יולי 2024</w:t>
          </w:r>
        </w:sdtContent>
      </w:sdt>
      <w:r>
        <w:rPr>
          <w:rFonts w:ascii="Arial" w:hAnsi="Arial"/>
          <w:noProof w:val="0"/>
          <w:rtl/>
        </w:rPr>
        <w:t>, בהעדר הצדדים.</w:t>
      </w:r>
    </w:p>
    <w:p w:rsidR="00021B73" w:rsidRDefault="00021B73" w:rsidP="00021B73">
      <w:pPr>
        <w:spacing w:line="360" w:lineRule="auto"/>
        <w:jc w:val="both"/>
        <w:rPr>
          <w:rFonts w:ascii="Arial" w:hAnsi="Arial"/>
          <w:noProof w:val="0"/>
          <w:rtl/>
        </w:rPr>
      </w:pPr>
    </w:p>
    <w:p w:rsidR="00021B73" w:rsidRDefault="00EB1080" w:rsidP="00021B73">
      <w:pPr>
        <w:spacing w:line="360" w:lineRule="auto"/>
        <w:ind w:left="3600" w:firstLine="720"/>
        <w:jc w:val="both"/>
      </w:pPr>
      <w:sdt>
        <w:sdtPr>
          <w:rPr>
            <w:rtl/>
          </w:rPr>
          <w:alias w:val="MergeField"/>
          <w:tag w:val="1237"/>
          <w:id w:val="388003314"/>
        </w:sdtPr>
        <w:sdtEndPr/>
        <w:sdtContent>
          <w:r w:rsidR="00021B73">
            <w:drawing>
              <wp:inline distT="0" distB="0" distL="0" distR="0" wp14:anchorId="4841AB28" wp14:editId="1A4FEBD5">
                <wp:extent cx="1771650" cy="504824"/>
                <wp:effectExtent l="0" t="0" r="0" b="0"/>
                <wp:docPr id="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32" cstate="print">
                          <a:extLst/>
                        </a:blip>
                        <a:stretch>
                          <a:fillRect/>
                        </a:stretch>
                      </pic:blipFill>
                      <pic:spPr>
                        <a:xfrm>
                          <a:off x="0" y="0"/>
                          <a:ext cx="1771650" cy="504824"/>
                        </a:xfrm>
                        <a:prstGeom prst="rect">
                          <a:avLst/>
                        </a:prstGeom>
                      </pic:spPr>
                    </pic:pic>
                  </a:graphicData>
                </a:graphic>
              </wp:inline>
            </w:drawing>
          </w:r>
        </w:sdtContent>
      </w:sdt>
    </w:p>
    <w:p w:rsidR="00021B73" w:rsidRDefault="00021B73" w:rsidP="00021B73">
      <w:pPr>
        <w:spacing w:line="360" w:lineRule="auto"/>
        <w:ind w:left="3600" w:firstLine="720"/>
        <w:jc w:val="both"/>
        <w:rPr>
          <w:rFonts w:ascii="Arial" w:hAnsi="Arial"/>
          <w:noProof w:val="0"/>
          <w:rtl/>
        </w:rPr>
      </w:pPr>
    </w:p>
    <w:p w:rsidR="00021B73" w:rsidRDefault="00021B73" w:rsidP="00021B73">
      <w:pPr>
        <w:spacing w:line="360" w:lineRule="auto"/>
        <w:jc w:val="both"/>
        <w:rPr>
          <w:rFonts w:ascii="Arial" w:hAnsi="Arial"/>
          <w:noProof w:val="0"/>
          <w:rtl/>
        </w:rPr>
      </w:pPr>
    </w:p>
    <w:p w:rsidR="00021B73" w:rsidRDefault="00021B73" w:rsidP="00021B73">
      <w:pPr>
        <w:spacing w:line="360" w:lineRule="auto"/>
        <w:jc w:val="both"/>
        <w:rPr>
          <w:rFonts w:ascii="Arial" w:hAnsi="Arial"/>
          <w:noProof w:val="0"/>
          <w:rtl/>
        </w:rPr>
      </w:pPr>
    </w:p>
    <w:p w:rsidR="00021B73" w:rsidRDefault="00021B73" w:rsidP="00021B73">
      <w:pPr>
        <w:spacing w:line="360" w:lineRule="auto"/>
        <w:jc w:val="both"/>
        <w:rPr>
          <w:rFonts w:ascii="Arial" w:hAnsi="Arial"/>
          <w:noProof w:val="0"/>
          <w:rtl/>
        </w:rPr>
      </w:pPr>
    </w:p>
    <w:p w:rsidR="00021B73" w:rsidRDefault="00021B73" w:rsidP="00021B73">
      <w:pPr>
        <w:spacing w:line="360" w:lineRule="auto"/>
        <w:jc w:val="both"/>
        <w:rPr>
          <w:rFonts w:ascii="Arial" w:hAnsi="Arial"/>
          <w:noProof w:val="0"/>
          <w:rtl/>
        </w:rPr>
      </w:pPr>
    </w:p>
    <w:p w:rsidR="00021B73" w:rsidRDefault="00021B73" w:rsidP="00021B73">
      <w:pPr>
        <w:spacing w:line="360" w:lineRule="auto"/>
        <w:jc w:val="both"/>
        <w:rPr>
          <w:rFonts w:ascii="Arial" w:hAnsi="Arial"/>
          <w:noProof w:val="0"/>
          <w:rtl/>
        </w:rPr>
      </w:pPr>
    </w:p>
    <w:p w:rsidR="00C77137" w:rsidRPr="00021B73" w:rsidRDefault="00C77137" w:rsidP="00021B73"/>
    <w:sectPr w:rsidR="00C77137" w:rsidRPr="00021B73" w:rsidSect="00DB218F">
      <w:headerReference w:type="default" r:id="rId33"/>
      <w:footerReference w:type="default" r:id="rId34"/>
      <w:pgSz w:w="11907" w:h="16840" w:code="9"/>
      <w:pgMar w:top="720" w:right="1701" w:bottom="431" w:left="1701" w:header="720" w:footer="1055" w:gutter="0"/>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1080" w:rsidRDefault="00EB1080">
      <w:r>
        <w:separator/>
      </w:r>
    </w:p>
  </w:endnote>
  <w:endnote w:type="continuationSeparator" w:id="0">
    <w:p w:rsidR="00EB1080" w:rsidRDefault="00EB10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Californian FB">
    <w:panose1 w:val="0207040306080B03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809" w:rsidRDefault="00FB52E9">
    <w:pPr>
      <w:pStyle w:val="a5"/>
      <w:jc w:val="center"/>
      <w:rPr>
        <w:rStyle w:val="a8"/>
        <w:rFonts w:cs="David"/>
      </w:rPr>
    </w:pPr>
    <w:r>
      <w:rPr>
        <w:rStyle w:val="a8"/>
        <w:rFonts w:cs="David"/>
      </w:rPr>
      <w:fldChar w:fldCharType="begin"/>
    </w:r>
    <w:r>
      <w:rPr>
        <w:rStyle w:val="a8"/>
        <w:rFonts w:cs="David"/>
      </w:rPr>
      <w:instrText xml:space="preserve"> PAGE </w:instrText>
    </w:r>
    <w:r>
      <w:rPr>
        <w:rStyle w:val="a8"/>
        <w:rFonts w:cs="David"/>
      </w:rPr>
      <w:fldChar w:fldCharType="separate"/>
    </w:r>
    <w:r w:rsidR="00FE7AEA">
      <w:rPr>
        <w:rStyle w:val="a8"/>
        <w:rFonts w:cs="David"/>
        <w:rtl/>
      </w:rPr>
      <w:t>1</w:t>
    </w:r>
    <w:r>
      <w:rPr>
        <w:rStyle w:val="a8"/>
        <w:rFonts w:cs="David"/>
      </w:rPr>
      <w:fldChar w:fldCharType="end"/>
    </w:r>
    <w:r>
      <w:rPr>
        <w:rStyle w:val="a8"/>
        <w:rFonts w:cs="David"/>
        <w:noProof w:val="0"/>
        <w:rtl/>
      </w:rPr>
      <w:t xml:space="preserve"> מתוך </w:t>
    </w:r>
    <w:r>
      <w:rPr>
        <w:rStyle w:val="a8"/>
        <w:rFonts w:cs="David"/>
      </w:rPr>
      <w:fldChar w:fldCharType="begin"/>
    </w:r>
    <w:r>
      <w:rPr>
        <w:rStyle w:val="a8"/>
        <w:rFonts w:cs="David"/>
      </w:rPr>
      <w:instrText xml:space="preserve"> NUMPAGES </w:instrText>
    </w:r>
    <w:r>
      <w:rPr>
        <w:rStyle w:val="a8"/>
        <w:rFonts w:cs="David"/>
      </w:rPr>
      <w:fldChar w:fldCharType="separate"/>
    </w:r>
    <w:r w:rsidR="00FE7AEA">
      <w:rPr>
        <w:rStyle w:val="a8"/>
        <w:rFonts w:cs="David"/>
        <w:rtl/>
      </w:rPr>
      <w:t>25</w:t>
    </w:r>
    <w:r>
      <w:rPr>
        <w:rStyle w:val="a8"/>
        <w:rFonts w:cs="Davi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1080" w:rsidRDefault="00EB1080">
      <w:r>
        <w:separator/>
      </w:r>
    </w:p>
  </w:footnote>
  <w:footnote w:type="continuationSeparator" w:id="0">
    <w:p w:rsidR="00EB1080" w:rsidRDefault="00EB10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809" w:rsidRDefault="00FB52E9">
    <w:pPr>
      <w:pStyle w:val="a3"/>
      <w:jc w:val="center"/>
      <w:rPr>
        <w:rFonts w:cs="FrankRuehl"/>
        <w:noProof w:val="0"/>
        <w:sz w:val="28"/>
        <w:szCs w:val="28"/>
        <w:rtl/>
      </w:rPr>
    </w:pPr>
    <w:r>
      <w:rPr>
        <w:rFonts w:cs="FrankRuehl"/>
        <w:sz w:val="28"/>
        <w:szCs w:val="28"/>
      </w:rPr>
      <w:drawing>
        <wp:inline distT="0" distB="0" distL="0" distR="0">
          <wp:extent cx="368300" cy="464185"/>
          <wp:effectExtent l="0" t="0" r="0" b="0"/>
          <wp:docPr id="1" name="תמונה 1" descr="תיאור: 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תיאור: 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8300" cy="46418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14"/>
      <w:gridCol w:w="3591"/>
    </w:tblGrid>
    <w:tr w:rsidR="00255809">
      <w:trPr>
        <w:trHeight w:hRule="exact" w:val="418"/>
        <w:jc w:val="center"/>
      </w:trPr>
      <w:tc>
        <w:tcPr>
          <w:tcW w:w="8721" w:type="dxa"/>
          <w:gridSpan w:val="2"/>
        </w:tcPr>
        <w:p w:rsidR="00255809" w:rsidRDefault="00DB218F">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w:t>
          </w:r>
          <w:r>
            <w:rPr>
              <w:rFonts w:ascii="Tahoma" w:hAnsi="Tahoma" w:cs="Tahoma" w:hint="cs"/>
              <w:b/>
              <w:bCs/>
              <w:noProof w:val="0"/>
              <w:color w:val="000080"/>
              <w:rtl/>
            </w:rPr>
            <w:t>תל אביב - יפו</w:t>
          </w:r>
        </w:p>
      </w:tc>
    </w:tr>
    <w:tr w:rsidR="00255809">
      <w:trPr>
        <w:trHeight w:val="337"/>
        <w:jc w:val="center"/>
      </w:trPr>
      <w:tc>
        <w:tcPr>
          <w:tcW w:w="5047" w:type="dxa"/>
        </w:tcPr>
        <w:p w:rsidR="00255809" w:rsidRDefault="00EB1080">
          <w:pPr>
            <w:rPr>
              <w:b/>
              <w:bCs/>
              <w:noProof w:val="0"/>
              <w:sz w:val="26"/>
              <w:szCs w:val="26"/>
              <w:rtl/>
            </w:rPr>
          </w:pPr>
        </w:p>
      </w:tc>
      <w:tc>
        <w:tcPr>
          <w:tcW w:w="3674" w:type="dxa"/>
        </w:tcPr>
        <w:p w:rsidR="00255809" w:rsidRDefault="00DB218F" w:rsidP="00021B73">
          <w:pPr>
            <w:pStyle w:val="a3"/>
            <w:jc w:val="right"/>
            <w:rPr>
              <w:b/>
              <w:bCs/>
              <w:noProof w:val="0"/>
              <w:sz w:val="26"/>
              <w:szCs w:val="26"/>
              <w:rtl/>
            </w:rPr>
          </w:pPr>
          <w:r>
            <w:rPr>
              <w:rFonts w:hint="cs"/>
              <w:b/>
              <w:bCs/>
              <w:noProof w:val="0"/>
              <w:sz w:val="26"/>
              <w:szCs w:val="26"/>
              <w:rtl/>
            </w:rPr>
            <w:t>2</w:t>
          </w:r>
          <w:r w:rsidR="00021B73">
            <w:rPr>
              <w:rFonts w:hint="cs"/>
              <w:b/>
              <w:bCs/>
              <w:noProof w:val="0"/>
              <w:sz w:val="26"/>
              <w:szCs w:val="26"/>
              <w:rtl/>
            </w:rPr>
            <w:t>5</w:t>
          </w:r>
          <w:r>
            <w:rPr>
              <w:rFonts w:hint="cs"/>
              <w:b/>
              <w:bCs/>
              <w:noProof w:val="0"/>
              <w:sz w:val="26"/>
              <w:szCs w:val="26"/>
              <w:rtl/>
            </w:rPr>
            <w:t xml:space="preserve"> ביולי 2024</w:t>
          </w:r>
        </w:p>
      </w:tc>
    </w:tr>
    <w:tr w:rsidR="00255809">
      <w:trPr>
        <w:trHeight w:val="337"/>
        <w:jc w:val="center"/>
      </w:trPr>
      <w:tc>
        <w:tcPr>
          <w:tcW w:w="8721" w:type="dxa"/>
          <w:gridSpan w:val="2"/>
        </w:tcPr>
        <w:p w:rsidR="00021B73" w:rsidRDefault="00EB1080" w:rsidP="00021B73">
          <w:pPr>
            <w:rPr>
              <w:b/>
              <w:bCs/>
              <w:noProof w:val="0"/>
              <w:sz w:val="26"/>
              <w:szCs w:val="26"/>
              <w:rtl/>
            </w:rPr>
          </w:pPr>
          <w:sdt>
            <w:sdtPr>
              <w:rPr>
                <w:rtl/>
              </w:rPr>
              <w:alias w:val="1170"/>
              <w:tag w:val="1170"/>
              <w:id w:val="-984775694"/>
              <w:text w:multiLine="1"/>
            </w:sdtPr>
            <w:sdtEndPr/>
            <w:sdtContent>
              <w:r w:rsidR="00021B73">
                <w:rPr>
                  <w:b/>
                  <w:bCs/>
                  <w:noProof w:val="0"/>
                  <w:sz w:val="26"/>
                  <w:szCs w:val="26"/>
                  <w:rtl/>
                </w:rPr>
                <w:t>ת"ע</w:t>
              </w:r>
            </w:sdtContent>
          </w:sdt>
          <w:r w:rsidR="00021B73">
            <w:rPr>
              <w:b/>
              <w:bCs/>
              <w:noProof w:val="0"/>
              <w:sz w:val="26"/>
              <w:szCs w:val="26"/>
              <w:rtl/>
            </w:rPr>
            <w:t xml:space="preserve"> </w:t>
          </w:r>
          <w:sdt>
            <w:sdtPr>
              <w:rPr>
                <w:rtl/>
              </w:rPr>
              <w:alias w:val="1171"/>
              <w:tag w:val="1171"/>
              <w:id w:val="1025217868"/>
              <w:text w:multiLine="1"/>
            </w:sdtPr>
            <w:sdtEndPr/>
            <w:sdtContent>
              <w:r w:rsidR="00021B73">
                <w:rPr>
                  <w:b/>
                  <w:bCs/>
                  <w:noProof w:val="0"/>
                  <w:sz w:val="26"/>
                  <w:szCs w:val="26"/>
                  <w:rtl/>
                </w:rPr>
                <w:t>26170-02-21</w:t>
              </w:r>
            </w:sdtContent>
          </w:sdt>
          <w:r w:rsidR="00021B73">
            <w:rPr>
              <w:b/>
              <w:bCs/>
              <w:noProof w:val="0"/>
              <w:sz w:val="26"/>
              <w:szCs w:val="26"/>
              <w:rtl/>
            </w:rPr>
            <w:t xml:space="preserve"> </w:t>
          </w:r>
          <w:sdt>
            <w:sdtPr>
              <w:rPr>
                <w:rtl/>
              </w:rPr>
              <w:alias w:val="1172"/>
              <w:tag w:val="1172"/>
              <w:id w:val="-673653942"/>
              <w:text w:multiLine="1"/>
            </w:sdtPr>
            <w:sdtEndPr/>
            <w:sdtContent>
              <w:r w:rsidR="00021B73">
                <w:rPr>
                  <w:rFonts w:hint="cs"/>
                  <w:b/>
                  <w:bCs/>
                  <w:noProof w:val="0"/>
                  <w:sz w:val="26"/>
                  <w:szCs w:val="26"/>
                  <w:rtl/>
                </w:rPr>
                <w:t>ז'</w:t>
              </w:r>
              <w:r w:rsidR="00021B73">
                <w:rPr>
                  <w:b/>
                  <w:bCs/>
                  <w:noProof w:val="0"/>
                  <w:sz w:val="26"/>
                  <w:szCs w:val="26"/>
                  <w:rtl/>
                </w:rPr>
                <w:t xml:space="preserve"> נ' האפוטרופוס הכללי במחוז תל-אביב ואח'</w:t>
              </w:r>
            </w:sdtContent>
          </w:sdt>
        </w:p>
        <w:p w:rsidR="00021B73" w:rsidRDefault="00EB1080" w:rsidP="00021B73">
          <w:pPr>
            <w:rPr>
              <w:b/>
              <w:bCs/>
              <w:noProof w:val="0"/>
              <w:sz w:val="26"/>
              <w:szCs w:val="26"/>
              <w:rtl/>
            </w:rPr>
          </w:pPr>
          <w:sdt>
            <w:sdtPr>
              <w:rPr>
                <w:rtl/>
              </w:rPr>
              <w:alias w:val="1170"/>
              <w:tag w:val="1170"/>
              <w:id w:val="-1650354830"/>
              <w:text w:multiLine="1"/>
            </w:sdtPr>
            <w:sdtEndPr/>
            <w:sdtContent>
              <w:r w:rsidR="00021B73">
                <w:rPr>
                  <w:b/>
                  <w:bCs/>
                  <w:noProof w:val="0"/>
                  <w:sz w:val="26"/>
                  <w:szCs w:val="26"/>
                  <w:rtl/>
                </w:rPr>
                <w:t>ת"ע</w:t>
              </w:r>
            </w:sdtContent>
          </w:sdt>
          <w:r w:rsidR="00021B73">
            <w:rPr>
              <w:b/>
              <w:bCs/>
              <w:noProof w:val="0"/>
              <w:sz w:val="26"/>
              <w:szCs w:val="26"/>
              <w:rtl/>
            </w:rPr>
            <w:t xml:space="preserve"> </w:t>
          </w:r>
          <w:sdt>
            <w:sdtPr>
              <w:rPr>
                <w:rtl/>
              </w:rPr>
              <w:alias w:val="1171"/>
              <w:tag w:val="1171"/>
              <w:id w:val="-1743791023"/>
              <w:text w:multiLine="1"/>
            </w:sdtPr>
            <w:sdtEndPr/>
            <w:sdtContent>
              <w:r w:rsidR="00021B73">
                <w:rPr>
                  <w:b/>
                  <w:bCs/>
                  <w:noProof w:val="0"/>
                  <w:sz w:val="26"/>
                  <w:szCs w:val="26"/>
                  <w:rtl/>
                </w:rPr>
                <w:t>26</w:t>
              </w:r>
              <w:r w:rsidR="00021B73">
                <w:rPr>
                  <w:rFonts w:hint="cs"/>
                  <w:b/>
                  <w:bCs/>
                  <w:noProof w:val="0"/>
                  <w:sz w:val="26"/>
                  <w:szCs w:val="26"/>
                  <w:rtl/>
                </w:rPr>
                <w:t>134</w:t>
              </w:r>
              <w:r w:rsidR="00021B73">
                <w:rPr>
                  <w:b/>
                  <w:bCs/>
                  <w:noProof w:val="0"/>
                  <w:sz w:val="26"/>
                  <w:szCs w:val="26"/>
                  <w:rtl/>
                </w:rPr>
                <w:t>-02-21</w:t>
              </w:r>
            </w:sdtContent>
          </w:sdt>
          <w:r w:rsidR="00021B73">
            <w:rPr>
              <w:b/>
              <w:bCs/>
              <w:noProof w:val="0"/>
              <w:sz w:val="26"/>
              <w:szCs w:val="26"/>
              <w:rtl/>
            </w:rPr>
            <w:t xml:space="preserve"> </w:t>
          </w:r>
          <w:sdt>
            <w:sdtPr>
              <w:rPr>
                <w:rtl/>
              </w:rPr>
              <w:alias w:val="1172"/>
              <w:tag w:val="1172"/>
              <w:id w:val="1779061565"/>
              <w:text w:multiLine="1"/>
            </w:sdtPr>
            <w:sdtEndPr/>
            <w:sdtContent>
              <w:r w:rsidR="00021B73">
                <w:rPr>
                  <w:rFonts w:hint="cs"/>
                  <w:b/>
                  <w:bCs/>
                  <w:noProof w:val="0"/>
                  <w:sz w:val="26"/>
                  <w:szCs w:val="26"/>
                  <w:rtl/>
                </w:rPr>
                <w:t>ר'</w:t>
              </w:r>
              <w:r w:rsidR="00021B73">
                <w:rPr>
                  <w:b/>
                  <w:bCs/>
                  <w:noProof w:val="0"/>
                  <w:sz w:val="26"/>
                  <w:szCs w:val="26"/>
                  <w:rtl/>
                </w:rPr>
                <w:t xml:space="preserve"> נ' האפוטרופוס הכללי במחוז תל-אביב ואח'</w:t>
              </w:r>
            </w:sdtContent>
          </w:sdt>
        </w:p>
        <w:p w:rsidR="00021B73" w:rsidRDefault="00EB1080" w:rsidP="00021B73">
          <w:pPr>
            <w:rPr>
              <w:b/>
              <w:bCs/>
              <w:noProof w:val="0"/>
              <w:sz w:val="26"/>
              <w:szCs w:val="26"/>
              <w:rtl/>
            </w:rPr>
          </w:pPr>
          <w:sdt>
            <w:sdtPr>
              <w:rPr>
                <w:rtl/>
              </w:rPr>
              <w:alias w:val="1170"/>
              <w:tag w:val="1170"/>
              <w:id w:val="-649974427"/>
              <w:text w:multiLine="1"/>
            </w:sdtPr>
            <w:sdtEndPr/>
            <w:sdtContent>
              <w:r w:rsidR="00021B73">
                <w:rPr>
                  <w:b/>
                  <w:bCs/>
                  <w:noProof w:val="0"/>
                  <w:sz w:val="26"/>
                  <w:szCs w:val="26"/>
                  <w:rtl/>
                </w:rPr>
                <w:t>ת"ע</w:t>
              </w:r>
            </w:sdtContent>
          </w:sdt>
          <w:r w:rsidR="00021B73">
            <w:rPr>
              <w:b/>
              <w:bCs/>
              <w:noProof w:val="0"/>
              <w:sz w:val="26"/>
              <w:szCs w:val="26"/>
              <w:rtl/>
            </w:rPr>
            <w:t xml:space="preserve"> </w:t>
          </w:r>
          <w:sdt>
            <w:sdtPr>
              <w:rPr>
                <w:rtl/>
              </w:rPr>
              <w:alias w:val="1171"/>
              <w:tag w:val="1171"/>
              <w:id w:val="-676957344"/>
              <w:text w:multiLine="1"/>
            </w:sdtPr>
            <w:sdtEndPr/>
            <w:sdtContent>
              <w:r w:rsidR="00021B73">
                <w:rPr>
                  <w:b/>
                  <w:bCs/>
                  <w:noProof w:val="0"/>
                  <w:sz w:val="26"/>
                  <w:szCs w:val="26"/>
                  <w:rtl/>
                </w:rPr>
                <w:t>26</w:t>
              </w:r>
              <w:r w:rsidR="00021B73">
                <w:rPr>
                  <w:rFonts w:hint="cs"/>
                  <w:b/>
                  <w:bCs/>
                  <w:noProof w:val="0"/>
                  <w:sz w:val="26"/>
                  <w:szCs w:val="26"/>
                  <w:rtl/>
                </w:rPr>
                <w:t>166</w:t>
              </w:r>
              <w:r w:rsidR="00021B73">
                <w:rPr>
                  <w:b/>
                  <w:bCs/>
                  <w:noProof w:val="0"/>
                  <w:sz w:val="26"/>
                  <w:szCs w:val="26"/>
                  <w:rtl/>
                </w:rPr>
                <w:t>-02-21</w:t>
              </w:r>
            </w:sdtContent>
          </w:sdt>
          <w:r w:rsidR="00021B73">
            <w:rPr>
              <w:b/>
              <w:bCs/>
              <w:noProof w:val="0"/>
              <w:sz w:val="26"/>
              <w:szCs w:val="26"/>
              <w:rtl/>
            </w:rPr>
            <w:t xml:space="preserve"> </w:t>
          </w:r>
          <w:sdt>
            <w:sdtPr>
              <w:rPr>
                <w:rtl/>
              </w:rPr>
              <w:alias w:val="1172"/>
              <w:tag w:val="1172"/>
              <w:id w:val="2020265494"/>
              <w:text w:multiLine="1"/>
            </w:sdtPr>
            <w:sdtEndPr/>
            <w:sdtContent>
              <w:r w:rsidR="00021B73">
                <w:rPr>
                  <w:rFonts w:hint="cs"/>
                  <w:b/>
                  <w:bCs/>
                  <w:noProof w:val="0"/>
                  <w:sz w:val="26"/>
                  <w:szCs w:val="26"/>
                  <w:rtl/>
                </w:rPr>
                <w:t>ז'</w:t>
              </w:r>
              <w:r w:rsidR="00021B73">
                <w:rPr>
                  <w:b/>
                  <w:bCs/>
                  <w:noProof w:val="0"/>
                  <w:sz w:val="26"/>
                  <w:szCs w:val="26"/>
                  <w:rtl/>
                </w:rPr>
                <w:t xml:space="preserve"> נ' האפוטרופוס הכללי במחוז תל-אביב ואח'</w:t>
              </w:r>
            </w:sdtContent>
          </w:sdt>
        </w:p>
        <w:p w:rsidR="00021B73" w:rsidRDefault="00EB1080" w:rsidP="00021B73">
          <w:pPr>
            <w:rPr>
              <w:b/>
              <w:bCs/>
              <w:noProof w:val="0"/>
              <w:sz w:val="26"/>
              <w:szCs w:val="26"/>
              <w:rtl/>
            </w:rPr>
          </w:pPr>
          <w:sdt>
            <w:sdtPr>
              <w:rPr>
                <w:rtl/>
              </w:rPr>
              <w:alias w:val="1170"/>
              <w:tag w:val="1170"/>
              <w:id w:val="-950556092"/>
              <w:text w:multiLine="1"/>
            </w:sdtPr>
            <w:sdtEndPr/>
            <w:sdtContent>
              <w:r w:rsidR="00021B73">
                <w:rPr>
                  <w:b/>
                  <w:bCs/>
                  <w:noProof w:val="0"/>
                  <w:sz w:val="26"/>
                  <w:szCs w:val="26"/>
                  <w:rtl/>
                </w:rPr>
                <w:t>ת"ע</w:t>
              </w:r>
            </w:sdtContent>
          </w:sdt>
          <w:r w:rsidR="00021B73">
            <w:rPr>
              <w:b/>
              <w:bCs/>
              <w:noProof w:val="0"/>
              <w:sz w:val="26"/>
              <w:szCs w:val="26"/>
              <w:rtl/>
            </w:rPr>
            <w:t xml:space="preserve"> </w:t>
          </w:r>
          <w:sdt>
            <w:sdtPr>
              <w:rPr>
                <w:rtl/>
              </w:rPr>
              <w:alias w:val="1171"/>
              <w:tag w:val="1171"/>
              <w:id w:val="1151566773"/>
              <w:text w:multiLine="1"/>
            </w:sdtPr>
            <w:sdtEndPr/>
            <w:sdtContent>
              <w:r w:rsidR="00021B73">
                <w:rPr>
                  <w:b/>
                  <w:bCs/>
                  <w:noProof w:val="0"/>
                  <w:sz w:val="26"/>
                  <w:szCs w:val="26"/>
                  <w:rtl/>
                </w:rPr>
                <w:t>261</w:t>
              </w:r>
              <w:r w:rsidR="00021B73">
                <w:rPr>
                  <w:rFonts w:hint="cs"/>
                  <w:b/>
                  <w:bCs/>
                  <w:noProof w:val="0"/>
                  <w:sz w:val="26"/>
                  <w:szCs w:val="26"/>
                  <w:rtl/>
                </w:rPr>
                <w:t>81</w:t>
              </w:r>
              <w:r w:rsidR="00021B73">
                <w:rPr>
                  <w:b/>
                  <w:bCs/>
                  <w:noProof w:val="0"/>
                  <w:sz w:val="26"/>
                  <w:szCs w:val="26"/>
                  <w:rtl/>
                </w:rPr>
                <w:t>-02-21</w:t>
              </w:r>
            </w:sdtContent>
          </w:sdt>
          <w:r w:rsidR="00021B73">
            <w:rPr>
              <w:b/>
              <w:bCs/>
              <w:noProof w:val="0"/>
              <w:sz w:val="26"/>
              <w:szCs w:val="26"/>
              <w:rtl/>
            </w:rPr>
            <w:t xml:space="preserve"> </w:t>
          </w:r>
          <w:sdt>
            <w:sdtPr>
              <w:rPr>
                <w:rtl/>
              </w:rPr>
              <w:alias w:val="1172"/>
              <w:tag w:val="1172"/>
              <w:id w:val="490914609"/>
              <w:text w:multiLine="1"/>
            </w:sdtPr>
            <w:sdtEndPr/>
            <w:sdtContent>
              <w:r w:rsidR="00021B73">
                <w:rPr>
                  <w:rFonts w:hint="cs"/>
                  <w:b/>
                  <w:bCs/>
                  <w:noProof w:val="0"/>
                  <w:sz w:val="26"/>
                  <w:szCs w:val="26"/>
                  <w:rtl/>
                </w:rPr>
                <w:t xml:space="preserve">ר' </w:t>
              </w:r>
              <w:r w:rsidR="00021B73">
                <w:rPr>
                  <w:b/>
                  <w:bCs/>
                  <w:noProof w:val="0"/>
                  <w:sz w:val="26"/>
                  <w:szCs w:val="26"/>
                  <w:rtl/>
                </w:rPr>
                <w:t>נ' האפוטרופוס הכללי במחוז תל-אביב ואח'</w:t>
              </w:r>
            </w:sdtContent>
          </w:sdt>
        </w:p>
        <w:p w:rsidR="00255809" w:rsidRDefault="00021B73" w:rsidP="00021B73">
          <w:pPr>
            <w:rPr>
              <w:noProof w:val="0"/>
              <w:rtl/>
            </w:rPr>
          </w:pPr>
          <w:r>
            <w:rPr>
              <w:noProof w:val="0"/>
              <w:rtl/>
            </w:rPr>
            <w:t xml:space="preserve"> </w:t>
          </w:r>
        </w:p>
      </w:tc>
    </w:tr>
  </w:tbl>
  <w:p w:rsidR="00255809" w:rsidRDefault="00FB52E9">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56B81"/>
    <w:multiLevelType w:val="hybridMultilevel"/>
    <w:tmpl w:val="A0A6A07C"/>
    <w:lvl w:ilvl="0" w:tplc="B90E04C6">
      <w:start w:val="1"/>
      <w:numFmt w:val="decimal"/>
      <w:lvlText w:val="%1."/>
      <w:lvlJc w:val="left"/>
      <w:pPr>
        <w:ind w:left="720" w:hanging="360"/>
      </w:pPr>
      <w:rPr>
        <w:rFonts w:cs="Times New Roman"/>
        <w:b w:val="0"/>
        <w:bCs w:val="0"/>
      </w:rPr>
    </w:lvl>
    <w:lvl w:ilvl="1" w:tplc="D750AA98">
      <w:start w:val="1"/>
      <w:numFmt w:val="hebrew1"/>
      <w:lvlText w:val="%2."/>
      <w:lvlJc w:val="center"/>
      <w:pPr>
        <w:ind w:left="1440" w:hanging="360"/>
      </w:pPr>
      <w:rPr>
        <w:rFonts w:cs="David"/>
        <w:sz w:val="2"/>
        <w:szCs w:val="24"/>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060813A2"/>
    <w:multiLevelType w:val="hybridMultilevel"/>
    <w:tmpl w:val="F372265C"/>
    <w:lvl w:ilvl="0" w:tplc="9C1C5D56">
      <w:start w:val="1"/>
      <w:numFmt w:val="decimal"/>
      <w:lvlText w:val="%1."/>
      <w:lvlJc w:val="left"/>
      <w:pPr>
        <w:ind w:left="643" w:hanging="360"/>
      </w:pPr>
      <w:rPr>
        <w:b w:val="0"/>
        <w:bCs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477B67"/>
    <w:multiLevelType w:val="hybridMultilevel"/>
    <w:tmpl w:val="E3223F70"/>
    <w:lvl w:ilvl="0" w:tplc="B7F4825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1C48B2"/>
    <w:multiLevelType w:val="hybridMultilevel"/>
    <w:tmpl w:val="C3AC510E"/>
    <w:lvl w:ilvl="0" w:tplc="7032BB02">
      <w:start w:val="1"/>
      <w:numFmt w:val="decimal"/>
      <w:lvlText w:val="%1."/>
      <w:lvlJc w:val="left"/>
      <w:pPr>
        <w:ind w:left="360" w:hanging="360"/>
      </w:pPr>
      <w:rPr>
        <w:rFonts w:ascii="David" w:hAnsi="David" w:cs="David" w:hint="default"/>
        <w:b w:val="0"/>
        <w:bCs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5CB4F49"/>
    <w:multiLevelType w:val="hybridMultilevel"/>
    <w:tmpl w:val="50E0382C"/>
    <w:lvl w:ilvl="0" w:tplc="5B8204C2">
      <w:start w:val="1"/>
      <w:numFmt w:val="hebrew1"/>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8FD3098"/>
    <w:multiLevelType w:val="hybridMultilevel"/>
    <w:tmpl w:val="B3322266"/>
    <w:lvl w:ilvl="0" w:tplc="8190186E">
      <w:start w:val="1"/>
      <w:numFmt w:val="hebrew1"/>
      <w:lvlText w:val="%1."/>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A5F4B5A"/>
    <w:multiLevelType w:val="hybridMultilevel"/>
    <w:tmpl w:val="7540808E"/>
    <w:lvl w:ilvl="0" w:tplc="3370D504">
      <w:start w:val="1"/>
      <w:numFmt w:val="decimal"/>
      <w:lvlText w:val="%1."/>
      <w:lvlJc w:val="left"/>
      <w:pPr>
        <w:ind w:left="720" w:hanging="360"/>
      </w:pPr>
      <w:rPr>
        <w:rFonts w:cs="Times New Roman"/>
        <w:b w:val="0"/>
        <w:b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7" w15:restartNumberingAfterBreak="0">
    <w:nsid w:val="4D4E7530"/>
    <w:multiLevelType w:val="hybridMultilevel"/>
    <w:tmpl w:val="87983396"/>
    <w:lvl w:ilvl="0" w:tplc="4C56D400">
      <w:start w:val="1"/>
      <w:numFmt w:val="hebrew1"/>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 w15:restartNumberingAfterBreak="0">
    <w:nsid w:val="55D87C69"/>
    <w:multiLevelType w:val="hybridMultilevel"/>
    <w:tmpl w:val="985226A2"/>
    <w:lvl w:ilvl="0" w:tplc="6B981762">
      <w:start w:val="1"/>
      <w:numFmt w:val="hebrew1"/>
      <w:lvlText w:val="%1."/>
      <w:lvlJc w:val="center"/>
      <w:pPr>
        <w:ind w:left="1434" w:hanging="360"/>
      </w:pPr>
      <w:rPr>
        <w:rFonts w:cs="David"/>
        <w:sz w:val="2"/>
        <w:szCs w:val="24"/>
      </w:rPr>
    </w:lvl>
    <w:lvl w:ilvl="1" w:tplc="04090019" w:tentative="1">
      <w:start w:val="1"/>
      <w:numFmt w:val="lowerLetter"/>
      <w:lvlText w:val="%2."/>
      <w:lvlJc w:val="left"/>
      <w:pPr>
        <w:ind w:left="2154" w:hanging="360"/>
      </w:pPr>
      <w:rPr>
        <w:rFonts w:cs="Times New Roman"/>
      </w:rPr>
    </w:lvl>
    <w:lvl w:ilvl="2" w:tplc="0409001B" w:tentative="1">
      <w:start w:val="1"/>
      <w:numFmt w:val="lowerRoman"/>
      <w:lvlText w:val="%3."/>
      <w:lvlJc w:val="right"/>
      <w:pPr>
        <w:ind w:left="2874" w:hanging="180"/>
      </w:pPr>
      <w:rPr>
        <w:rFonts w:cs="Times New Roman"/>
      </w:rPr>
    </w:lvl>
    <w:lvl w:ilvl="3" w:tplc="0409000F" w:tentative="1">
      <w:start w:val="1"/>
      <w:numFmt w:val="decimal"/>
      <w:lvlText w:val="%4."/>
      <w:lvlJc w:val="left"/>
      <w:pPr>
        <w:ind w:left="3594" w:hanging="360"/>
      </w:pPr>
      <w:rPr>
        <w:rFonts w:cs="Times New Roman"/>
      </w:rPr>
    </w:lvl>
    <w:lvl w:ilvl="4" w:tplc="04090019" w:tentative="1">
      <w:start w:val="1"/>
      <w:numFmt w:val="lowerLetter"/>
      <w:lvlText w:val="%5."/>
      <w:lvlJc w:val="left"/>
      <w:pPr>
        <w:ind w:left="4314" w:hanging="360"/>
      </w:pPr>
      <w:rPr>
        <w:rFonts w:cs="Times New Roman"/>
      </w:rPr>
    </w:lvl>
    <w:lvl w:ilvl="5" w:tplc="0409001B" w:tentative="1">
      <w:start w:val="1"/>
      <w:numFmt w:val="lowerRoman"/>
      <w:lvlText w:val="%6."/>
      <w:lvlJc w:val="right"/>
      <w:pPr>
        <w:ind w:left="5034" w:hanging="180"/>
      </w:pPr>
      <w:rPr>
        <w:rFonts w:cs="Times New Roman"/>
      </w:rPr>
    </w:lvl>
    <w:lvl w:ilvl="6" w:tplc="0409000F" w:tentative="1">
      <w:start w:val="1"/>
      <w:numFmt w:val="decimal"/>
      <w:lvlText w:val="%7."/>
      <w:lvlJc w:val="left"/>
      <w:pPr>
        <w:ind w:left="5754" w:hanging="360"/>
      </w:pPr>
      <w:rPr>
        <w:rFonts w:cs="Times New Roman"/>
      </w:rPr>
    </w:lvl>
    <w:lvl w:ilvl="7" w:tplc="04090019" w:tentative="1">
      <w:start w:val="1"/>
      <w:numFmt w:val="lowerLetter"/>
      <w:lvlText w:val="%8."/>
      <w:lvlJc w:val="left"/>
      <w:pPr>
        <w:ind w:left="6474" w:hanging="360"/>
      </w:pPr>
      <w:rPr>
        <w:rFonts w:cs="Times New Roman"/>
      </w:rPr>
    </w:lvl>
    <w:lvl w:ilvl="8" w:tplc="0409001B" w:tentative="1">
      <w:start w:val="1"/>
      <w:numFmt w:val="lowerRoman"/>
      <w:lvlText w:val="%9."/>
      <w:lvlJc w:val="right"/>
      <w:pPr>
        <w:ind w:left="7194" w:hanging="180"/>
      </w:pPr>
      <w:rPr>
        <w:rFonts w:cs="Times New Roman"/>
      </w:rPr>
    </w:lvl>
  </w:abstractNum>
  <w:abstractNum w:abstractNumId="9" w15:restartNumberingAfterBreak="0">
    <w:nsid w:val="5F5B62AF"/>
    <w:multiLevelType w:val="hybridMultilevel"/>
    <w:tmpl w:val="83A275FE"/>
    <w:lvl w:ilvl="0" w:tplc="202ECAFA">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0" w15:restartNumberingAfterBreak="0">
    <w:nsid w:val="602C30FE"/>
    <w:multiLevelType w:val="hybridMultilevel"/>
    <w:tmpl w:val="58263770"/>
    <w:lvl w:ilvl="0" w:tplc="452E649C">
      <w:start w:val="1"/>
      <w:numFmt w:val="hebrew1"/>
      <w:lvlText w:val="(%1)"/>
      <w:lvlJc w:val="left"/>
      <w:pPr>
        <w:ind w:left="720" w:hanging="360"/>
      </w:pPr>
      <w:rPr>
        <w:rFonts w:ascii="David" w:hAnsi="David" w:cs="David"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1" w15:restartNumberingAfterBreak="0">
    <w:nsid w:val="75CD0CA5"/>
    <w:multiLevelType w:val="hybridMultilevel"/>
    <w:tmpl w:val="E020AC14"/>
    <w:lvl w:ilvl="0" w:tplc="1C88EC2E">
      <w:start w:val="2"/>
      <w:numFmt w:val="hebrew1"/>
      <w:lvlText w:val="%1."/>
      <w:lvlJc w:val="left"/>
      <w:pPr>
        <w:tabs>
          <w:tab w:val="num" w:pos="1203"/>
        </w:tabs>
        <w:ind w:left="1203" w:hanging="360"/>
      </w:pPr>
      <w:rPr>
        <w:rFonts w:cs="Times New Roman" w:hint="default"/>
        <w:b w:val="0"/>
        <w:bCs w:val="0"/>
        <w:sz w:val="2"/>
        <w:szCs w:val="24"/>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2643"/>
        </w:tabs>
        <w:ind w:left="2643" w:hanging="180"/>
      </w:pPr>
      <w:rPr>
        <w:rFonts w:cs="Times New Roman"/>
      </w:rPr>
    </w:lvl>
    <w:lvl w:ilvl="3" w:tplc="0409000F" w:tentative="1">
      <w:start w:val="1"/>
      <w:numFmt w:val="decimal"/>
      <w:lvlText w:val="%4."/>
      <w:lvlJc w:val="left"/>
      <w:pPr>
        <w:tabs>
          <w:tab w:val="num" w:pos="3363"/>
        </w:tabs>
        <w:ind w:left="3363" w:hanging="360"/>
      </w:pPr>
      <w:rPr>
        <w:rFonts w:cs="Times New Roman"/>
      </w:rPr>
    </w:lvl>
    <w:lvl w:ilvl="4" w:tplc="04090019" w:tentative="1">
      <w:start w:val="1"/>
      <w:numFmt w:val="lowerLetter"/>
      <w:lvlText w:val="%5."/>
      <w:lvlJc w:val="left"/>
      <w:pPr>
        <w:tabs>
          <w:tab w:val="num" w:pos="4083"/>
        </w:tabs>
        <w:ind w:left="4083" w:hanging="360"/>
      </w:pPr>
      <w:rPr>
        <w:rFonts w:cs="Times New Roman"/>
      </w:rPr>
    </w:lvl>
    <w:lvl w:ilvl="5" w:tplc="0409001B" w:tentative="1">
      <w:start w:val="1"/>
      <w:numFmt w:val="lowerRoman"/>
      <w:lvlText w:val="%6."/>
      <w:lvlJc w:val="right"/>
      <w:pPr>
        <w:tabs>
          <w:tab w:val="num" w:pos="4803"/>
        </w:tabs>
        <w:ind w:left="4803" w:hanging="180"/>
      </w:pPr>
      <w:rPr>
        <w:rFonts w:cs="Times New Roman"/>
      </w:rPr>
    </w:lvl>
    <w:lvl w:ilvl="6" w:tplc="0409000F" w:tentative="1">
      <w:start w:val="1"/>
      <w:numFmt w:val="decimal"/>
      <w:lvlText w:val="%7."/>
      <w:lvlJc w:val="left"/>
      <w:pPr>
        <w:tabs>
          <w:tab w:val="num" w:pos="5523"/>
        </w:tabs>
        <w:ind w:left="5523" w:hanging="360"/>
      </w:pPr>
      <w:rPr>
        <w:rFonts w:cs="Times New Roman"/>
      </w:rPr>
    </w:lvl>
    <w:lvl w:ilvl="7" w:tplc="04090019" w:tentative="1">
      <w:start w:val="1"/>
      <w:numFmt w:val="lowerLetter"/>
      <w:lvlText w:val="%8."/>
      <w:lvlJc w:val="left"/>
      <w:pPr>
        <w:tabs>
          <w:tab w:val="num" w:pos="6243"/>
        </w:tabs>
        <w:ind w:left="6243" w:hanging="360"/>
      </w:pPr>
      <w:rPr>
        <w:rFonts w:cs="Times New Roman"/>
      </w:rPr>
    </w:lvl>
    <w:lvl w:ilvl="8" w:tplc="0409001B" w:tentative="1">
      <w:start w:val="1"/>
      <w:numFmt w:val="lowerRoman"/>
      <w:lvlText w:val="%9."/>
      <w:lvlJc w:val="right"/>
      <w:pPr>
        <w:tabs>
          <w:tab w:val="num" w:pos="6963"/>
        </w:tabs>
        <w:ind w:left="6963" w:hanging="180"/>
      </w:pPr>
      <w:rPr>
        <w:rFonts w:cs="Times New Roman"/>
      </w:rPr>
    </w:lvl>
  </w:abstractNum>
  <w:abstractNum w:abstractNumId="12" w15:restartNumberingAfterBreak="0">
    <w:nsid w:val="7D6A155F"/>
    <w:multiLevelType w:val="hybridMultilevel"/>
    <w:tmpl w:val="390E1AA0"/>
    <w:lvl w:ilvl="0" w:tplc="F36ADD08">
      <w:start w:val="1"/>
      <w:numFmt w:val="hebrew1"/>
      <w:lvlText w:val="%1."/>
      <w:lvlJc w:val="center"/>
      <w:pPr>
        <w:ind w:left="720" w:hanging="360"/>
      </w:pPr>
    </w:lvl>
    <w:lvl w:ilvl="1" w:tplc="13CCD836">
      <w:start w:val="1"/>
      <w:numFmt w:val="lowerLetter"/>
      <w:lvlText w:val="%2."/>
      <w:lvlJc w:val="left"/>
      <w:pPr>
        <w:ind w:left="1440" w:hanging="360"/>
      </w:pPr>
    </w:lvl>
    <w:lvl w:ilvl="2" w:tplc="1E82D7EC">
      <w:start w:val="1"/>
      <w:numFmt w:val="lowerRoman"/>
      <w:lvlText w:val="%3."/>
      <w:lvlJc w:val="right"/>
      <w:pPr>
        <w:ind w:left="2160" w:hanging="180"/>
      </w:pPr>
    </w:lvl>
    <w:lvl w:ilvl="3" w:tplc="03120E1E">
      <w:start w:val="1"/>
      <w:numFmt w:val="decimal"/>
      <w:lvlText w:val="%4."/>
      <w:lvlJc w:val="left"/>
      <w:pPr>
        <w:ind w:left="2880" w:hanging="360"/>
      </w:pPr>
    </w:lvl>
    <w:lvl w:ilvl="4" w:tplc="DCBCBD36">
      <w:start w:val="1"/>
      <w:numFmt w:val="lowerLetter"/>
      <w:lvlText w:val="%5."/>
      <w:lvlJc w:val="left"/>
      <w:pPr>
        <w:ind w:left="3600" w:hanging="360"/>
      </w:pPr>
    </w:lvl>
    <w:lvl w:ilvl="5" w:tplc="58F62DDA">
      <w:start w:val="1"/>
      <w:numFmt w:val="lowerRoman"/>
      <w:lvlText w:val="%6."/>
      <w:lvlJc w:val="right"/>
      <w:pPr>
        <w:ind w:left="4320" w:hanging="180"/>
      </w:pPr>
    </w:lvl>
    <w:lvl w:ilvl="6" w:tplc="6FDCDB5A">
      <w:start w:val="1"/>
      <w:numFmt w:val="decimal"/>
      <w:lvlText w:val="%7."/>
      <w:lvlJc w:val="left"/>
      <w:pPr>
        <w:ind w:left="5040" w:hanging="360"/>
      </w:pPr>
    </w:lvl>
    <w:lvl w:ilvl="7" w:tplc="9A8C856C">
      <w:start w:val="1"/>
      <w:numFmt w:val="lowerLetter"/>
      <w:lvlText w:val="%8."/>
      <w:lvlJc w:val="left"/>
      <w:pPr>
        <w:ind w:left="5760" w:hanging="360"/>
      </w:pPr>
    </w:lvl>
    <w:lvl w:ilvl="8" w:tplc="F6E0A746">
      <w:start w:val="1"/>
      <w:numFmt w:val="lowerRoman"/>
      <w:lvlText w:val="%9."/>
      <w:lvlJc w:val="right"/>
      <w:pPr>
        <w:ind w:left="6480" w:hanging="180"/>
      </w:pPr>
    </w:lvl>
  </w:abstractNum>
  <w:num w:numId="1">
    <w:abstractNumId w:val="0"/>
  </w:num>
  <w:num w:numId="2">
    <w:abstractNumId w:val="8"/>
  </w:num>
  <w:num w:numId="3">
    <w:abstractNumId w:val="1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9"/>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52E9"/>
    <w:rsid w:val="00021B73"/>
    <w:rsid w:val="000E05F2"/>
    <w:rsid w:val="00317851"/>
    <w:rsid w:val="0036596F"/>
    <w:rsid w:val="00486CD3"/>
    <w:rsid w:val="00605689"/>
    <w:rsid w:val="00814B20"/>
    <w:rsid w:val="00863B2C"/>
    <w:rsid w:val="008E1C9A"/>
    <w:rsid w:val="008F14F4"/>
    <w:rsid w:val="00A863AB"/>
    <w:rsid w:val="00BC26A1"/>
    <w:rsid w:val="00C045A4"/>
    <w:rsid w:val="00C52824"/>
    <w:rsid w:val="00C77137"/>
    <w:rsid w:val="00CC5B1B"/>
    <w:rsid w:val="00D97E68"/>
    <w:rsid w:val="00DB218F"/>
    <w:rsid w:val="00EB1080"/>
    <w:rsid w:val="00F04F8F"/>
    <w:rsid w:val="00FB52E9"/>
    <w:rsid w:val="00FE7AEA"/>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65D4518-D5FA-4C17-A92F-E9257C0B5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52E9"/>
    <w:pPr>
      <w:bidi/>
      <w:spacing w:after="0" w:line="240" w:lineRule="auto"/>
    </w:pPr>
    <w:rPr>
      <w:rFonts w:ascii="Times New Roman" w:eastAsia="Times New Roman" w:hAnsi="Times New Roman" w:cs="David"/>
      <w:noProof/>
      <w:sz w:val="24"/>
      <w:szCs w:val="24"/>
    </w:rPr>
  </w:style>
  <w:style w:type="paragraph" w:styleId="4">
    <w:name w:val="heading 4"/>
    <w:basedOn w:val="a"/>
    <w:next w:val="a"/>
    <w:link w:val="40"/>
    <w:qFormat/>
    <w:rsid w:val="00021B7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FB52E9"/>
    <w:pPr>
      <w:tabs>
        <w:tab w:val="center" w:pos="4153"/>
        <w:tab w:val="right" w:pos="8306"/>
      </w:tabs>
    </w:pPr>
  </w:style>
  <w:style w:type="character" w:customStyle="1" w:styleId="a4">
    <w:name w:val="כותרת עליונה תו"/>
    <w:basedOn w:val="a0"/>
    <w:link w:val="a3"/>
    <w:uiPriority w:val="99"/>
    <w:rsid w:val="00FB52E9"/>
    <w:rPr>
      <w:rFonts w:ascii="Times New Roman" w:eastAsia="Times New Roman" w:hAnsi="Times New Roman" w:cs="David"/>
      <w:noProof/>
      <w:sz w:val="24"/>
      <w:szCs w:val="24"/>
    </w:rPr>
  </w:style>
  <w:style w:type="paragraph" w:styleId="a5">
    <w:name w:val="footer"/>
    <w:basedOn w:val="a"/>
    <w:link w:val="a6"/>
    <w:rsid w:val="00FB52E9"/>
    <w:pPr>
      <w:tabs>
        <w:tab w:val="center" w:pos="4153"/>
        <w:tab w:val="right" w:pos="8306"/>
      </w:tabs>
    </w:pPr>
  </w:style>
  <w:style w:type="character" w:customStyle="1" w:styleId="a6">
    <w:name w:val="כותרת תחתונה תו"/>
    <w:basedOn w:val="a0"/>
    <w:link w:val="a5"/>
    <w:uiPriority w:val="99"/>
    <w:rsid w:val="00FB52E9"/>
    <w:rPr>
      <w:rFonts w:ascii="Times New Roman" w:eastAsia="Times New Roman" w:hAnsi="Times New Roman" w:cs="David"/>
      <w:noProof/>
      <w:sz w:val="24"/>
      <w:szCs w:val="24"/>
    </w:rPr>
  </w:style>
  <w:style w:type="table" w:styleId="a7">
    <w:name w:val="Table Grid"/>
    <w:basedOn w:val="a1"/>
    <w:rsid w:val="00FB52E9"/>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page number"/>
    <w:basedOn w:val="a0"/>
    <w:rsid w:val="00FB52E9"/>
    <w:rPr>
      <w:rFonts w:cs="Times New Roman"/>
    </w:rPr>
  </w:style>
  <w:style w:type="paragraph" w:customStyle="1" w:styleId="normal-p">
    <w:name w:val="normal-p"/>
    <w:basedOn w:val="a"/>
    <w:uiPriority w:val="99"/>
    <w:rsid w:val="00FB52E9"/>
    <w:pPr>
      <w:bidi w:val="0"/>
      <w:spacing w:before="100" w:beforeAutospacing="1" w:after="100" w:afterAutospacing="1"/>
    </w:pPr>
    <w:rPr>
      <w:rFonts w:cs="Times New Roman"/>
      <w:noProof w:val="0"/>
    </w:rPr>
  </w:style>
  <w:style w:type="character" w:customStyle="1" w:styleId="normal-h">
    <w:name w:val="normal-h"/>
    <w:uiPriority w:val="99"/>
    <w:rsid w:val="00FB52E9"/>
  </w:style>
  <w:style w:type="paragraph" w:styleId="a9">
    <w:name w:val="List Paragraph"/>
    <w:basedOn w:val="a"/>
    <w:uiPriority w:val="34"/>
    <w:qFormat/>
    <w:rsid w:val="00FB52E9"/>
    <w:pPr>
      <w:ind w:left="720"/>
      <w:contextualSpacing/>
    </w:pPr>
  </w:style>
  <w:style w:type="paragraph" w:customStyle="1" w:styleId="P00">
    <w:name w:val="P00"/>
    <w:uiPriority w:val="99"/>
    <w:rsid w:val="00FB52E9"/>
    <w:pPr>
      <w:widowControl w:val="0"/>
      <w:tabs>
        <w:tab w:val="left" w:pos="624"/>
        <w:tab w:val="left" w:pos="1021"/>
        <w:tab w:val="left" w:pos="1474"/>
        <w:tab w:val="left" w:pos="1928"/>
        <w:tab w:val="left" w:pos="2381"/>
        <w:tab w:val="left" w:pos="2835"/>
        <w:tab w:val="right" w:leader="dot" w:pos="6259"/>
      </w:tabs>
      <w:suppressAutoHyphens/>
      <w:autoSpaceDE w:val="0"/>
      <w:autoSpaceDN w:val="0"/>
      <w:bidi/>
      <w:spacing w:before="60" w:after="0" w:line="240" w:lineRule="auto"/>
      <w:ind w:left="2835"/>
      <w:jc w:val="both"/>
    </w:pPr>
    <w:rPr>
      <w:rFonts w:ascii="Times New Roman" w:eastAsia="Times New Roman" w:hAnsi="Times New Roman" w:cs="Times New Roman"/>
      <w:noProof/>
      <w:sz w:val="20"/>
      <w:szCs w:val="26"/>
      <w:lang w:eastAsia="he-IL"/>
    </w:rPr>
  </w:style>
  <w:style w:type="character" w:customStyle="1" w:styleId="default">
    <w:name w:val="default"/>
    <w:uiPriority w:val="99"/>
    <w:rsid w:val="00FB52E9"/>
    <w:rPr>
      <w:rFonts w:ascii="Times New Roman" w:hAnsi="Times New Roman"/>
      <w:sz w:val="26"/>
    </w:rPr>
  </w:style>
  <w:style w:type="character" w:customStyle="1" w:styleId="big-number">
    <w:name w:val="big-number"/>
    <w:uiPriority w:val="99"/>
    <w:rsid w:val="00FB52E9"/>
    <w:rPr>
      <w:rFonts w:ascii="Times New Roman" w:hAnsi="Times New Roman"/>
      <w:sz w:val="32"/>
    </w:rPr>
  </w:style>
  <w:style w:type="paragraph" w:styleId="aa">
    <w:name w:val="Balloon Text"/>
    <w:basedOn w:val="a"/>
    <w:link w:val="ab"/>
    <w:semiHidden/>
    <w:unhideWhenUsed/>
    <w:rsid w:val="00FB52E9"/>
    <w:rPr>
      <w:rFonts w:ascii="Tahoma" w:hAnsi="Tahoma" w:cs="Tahoma"/>
      <w:sz w:val="16"/>
      <w:szCs w:val="16"/>
    </w:rPr>
  </w:style>
  <w:style w:type="character" w:customStyle="1" w:styleId="ab">
    <w:name w:val="טקסט בלונים תו"/>
    <w:basedOn w:val="a0"/>
    <w:link w:val="aa"/>
    <w:uiPriority w:val="99"/>
    <w:semiHidden/>
    <w:rsid w:val="00FB52E9"/>
    <w:rPr>
      <w:rFonts w:ascii="Tahoma" w:eastAsia="Times New Roman" w:hAnsi="Tahoma" w:cs="Tahoma"/>
      <w:noProof/>
      <w:sz w:val="16"/>
      <w:szCs w:val="16"/>
    </w:rPr>
  </w:style>
  <w:style w:type="character" w:styleId="ac">
    <w:name w:val="line number"/>
    <w:basedOn w:val="a0"/>
    <w:unhideWhenUsed/>
    <w:rsid w:val="00FB52E9"/>
  </w:style>
  <w:style w:type="paragraph" w:customStyle="1" w:styleId="1">
    <w:name w:val="פיסקת רשימה1"/>
    <w:basedOn w:val="a"/>
    <w:qFormat/>
    <w:rsid w:val="00DB218F"/>
    <w:pPr>
      <w:ind w:left="720"/>
      <w:contextualSpacing/>
    </w:pPr>
  </w:style>
  <w:style w:type="character" w:styleId="ad">
    <w:name w:val="Placeholder Text"/>
    <w:basedOn w:val="a0"/>
    <w:uiPriority w:val="99"/>
    <w:semiHidden/>
    <w:rsid w:val="00DB218F"/>
    <w:rPr>
      <w:color w:val="808080"/>
    </w:rPr>
  </w:style>
  <w:style w:type="character" w:customStyle="1" w:styleId="40">
    <w:name w:val="כותרת 4 תו"/>
    <w:basedOn w:val="a0"/>
    <w:link w:val="4"/>
    <w:rsid w:val="00021B73"/>
    <w:rPr>
      <w:rFonts w:ascii="Times New Roman" w:eastAsia="Times New Roman" w:hAnsi="Times New Roman" w:cs="Narkisim"/>
      <w:b/>
      <w:bCs/>
      <w:noProof/>
      <w:sz w:val="24"/>
      <w:szCs w:val="24"/>
      <w14:shadow w14:blurRad="50800" w14:dist="38100" w14:dir="2700000" w14:sx="100000" w14:sy="100000" w14:kx="0" w14:ky="0" w14:algn="tl">
        <w14:srgbClr w14:val="000000">
          <w14:alpha w14:val="60000"/>
        </w14:srgbClr>
      </w14:shadow>
    </w:rPr>
  </w:style>
  <w:style w:type="paragraph" w:customStyle="1" w:styleId="ae">
    <w:name w:val="סעיפים"/>
    <w:basedOn w:val="a"/>
    <w:rsid w:val="00021B7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f">
    <w:name w:val="annotation text"/>
    <w:basedOn w:val="a"/>
    <w:link w:val="af0"/>
    <w:semiHidden/>
    <w:rsid w:val="00021B73"/>
    <w:rPr>
      <w:rFonts w:cs="Times New Roman"/>
      <w:noProof w:val="0"/>
    </w:rPr>
  </w:style>
  <w:style w:type="character" w:customStyle="1" w:styleId="af0">
    <w:name w:val="טקסט הערה תו"/>
    <w:basedOn w:val="a0"/>
    <w:link w:val="af"/>
    <w:semiHidden/>
    <w:rsid w:val="00021B73"/>
    <w:rPr>
      <w:rFonts w:ascii="Times New Roman" w:eastAsia="Times New Roman" w:hAnsi="Times New Roman" w:cs="Times New Roman"/>
      <w:sz w:val="24"/>
      <w:szCs w:val="24"/>
    </w:rPr>
  </w:style>
  <w:style w:type="character" w:styleId="af1">
    <w:name w:val="annotation reference"/>
    <w:basedOn w:val="a0"/>
    <w:semiHidden/>
    <w:rsid w:val="00021B73"/>
    <w:rPr>
      <w:sz w:val="16"/>
      <w:szCs w:val="16"/>
    </w:rPr>
  </w:style>
  <w:style w:type="character" w:styleId="Hyperlink">
    <w:name w:val="Hyperlink"/>
    <w:semiHidden/>
    <w:unhideWhenUsed/>
    <w:rsid w:val="00021B73"/>
    <w:rPr>
      <w:color w:val="0000FF"/>
      <w:u w:val="single"/>
    </w:rPr>
  </w:style>
  <w:style w:type="paragraph" w:customStyle="1" w:styleId="2">
    <w:name w:val="פיסקת רשימה2"/>
    <w:basedOn w:val="a"/>
    <w:qFormat/>
    <w:rsid w:val="00021B73"/>
    <w:pPr>
      <w:ind w:left="720"/>
      <w:contextualSpacing/>
    </w:pPr>
    <w:rPr>
      <w:rFonts w:eastAsia="Calibri"/>
    </w:rPr>
  </w:style>
  <w:style w:type="paragraph" w:styleId="NormalWeb">
    <w:name w:val="Normal (Web)"/>
    <w:basedOn w:val="a"/>
    <w:uiPriority w:val="99"/>
    <w:semiHidden/>
    <w:unhideWhenUsed/>
    <w:rsid w:val="00021B73"/>
    <w:pPr>
      <w:bidi w:val="0"/>
      <w:spacing w:before="100" w:beforeAutospacing="1" w:after="100" w:afterAutospacing="1"/>
    </w:pPr>
    <w:rPr>
      <w:rFonts w:cs="Times New Roman"/>
      <w:noProof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7829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emf"/><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jp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nevo.co.il/safrut/bookgroup/2144" TargetMode="External"/><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glossaryDocument" Target="glossary/document.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9ED085AD60B47D6863FEB0EA57A6176"/>
        <w:category>
          <w:name w:val="כללי"/>
          <w:gallery w:val="placeholder"/>
        </w:category>
        <w:types>
          <w:type w:val="bbPlcHdr"/>
        </w:types>
        <w:behaviors>
          <w:behavior w:val="content"/>
        </w:behaviors>
        <w:guid w:val="{828CFA90-804E-4046-AC45-6EA5C76C6873}"/>
      </w:docPartPr>
      <w:docPartBody>
        <w:p w:rsidR="0090514C" w:rsidRDefault="00FD1272" w:rsidP="00FD1272">
          <w:pPr>
            <w:pStyle w:val="D9ED085AD60B47D6863FEB0EA57A6176"/>
          </w:pPr>
          <w:r>
            <w:rPr>
              <w:rStyle w:val="a3"/>
              <w:rtl/>
            </w:rPr>
            <w:t>תאור קבוצת שייכות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Californian FB">
    <w:panose1 w:val="0207040306080B03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5989"/>
    <w:rsid w:val="000451B0"/>
    <w:rsid w:val="005E46F9"/>
    <w:rsid w:val="006E6BA4"/>
    <w:rsid w:val="0090514C"/>
    <w:rsid w:val="00B05989"/>
    <w:rsid w:val="00FD1272"/>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FD1272"/>
    <w:rPr>
      <w:color w:val="808080"/>
    </w:rPr>
  </w:style>
  <w:style w:type="paragraph" w:customStyle="1" w:styleId="F3850737B7D248F0BBD3FC02E27C1ABE">
    <w:name w:val="F3850737B7D248F0BBD3FC02E27C1ABE"/>
    <w:rsid w:val="00B05989"/>
    <w:pPr>
      <w:bidi/>
    </w:pPr>
  </w:style>
  <w:style w:type="paragraph" w:customStyle="1" w:styleId="D9ED085AD60B47D6863FEB0EA57A6176">
    <w:name w:val="D9ED085AD60B47D6863FEB0EA57A6176"/>
    <w:rsid w:val="00FD1272"/>
    <w:pPr>
      <w:bidi/>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8472</Words>
  <Characters>42360</Characters>
  <Application>Microsoft Office Word</Application>
  <DocSecurity>0</DocSecurity>
  <Lines>353</Lines>
  <Paragraphs>101</Paragraphs>
  <ScaleCrop>false</ScaleCrop>
  <HeadingPairs>
    <vt:vector size="2" baseType="variant">
      <vt:variant>
        <vt:lpstr>שם</vt:lpstr>
      </vt:variant>
      <vt:variant>
        <vt:i4>1</vt:i4>
      </vt:variant>
    </vt:vector>
  </HeadingPairs>
  <TitlesOfParts>
    <vt:vector size="1" baseType="lpstr">
      <vt:lpstr/>
    </vt:vector>
  </TitlesOfParts>
  <Company>Court Profile</Company>
  <LinksUpToDate>false</LinksUpToDate>
  <CharactersWithSpaces>50731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court</dc:creator>
  <cp:lastModifiedBy>אסתר טטרואשילי</cp:lastModifiedBy>
  <cp:revision>2</cp:revision>
  <dcterms:created xsi:type="dcterms:W3CDTF">2024-08-08T07:22:00Z</dcterms:created>
  <dcterms:modified xsi:type="dcterms:W3CDTF">2024-08-08T07:22:00Z</dcterms:modified>
</cp:coreProperties>
</file>